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503B99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r w:rsidRPr="00503B99">
        <w:t>Press release</w:t>
      </w:r>
    </w:p>
    <w:p w:rsidR="00FD6C00" w:rsidRPr="00503B99" w:rsidRDefault="00FD6C00" w:rsidP="006C15D7">
      <w:pPr>
        <w:spacing w:after="0" w:line="320" w:lineRule="exact"/>
        <w:rPr>
          <w:rFonts w:asciiTheme="minorHAnsi" w:hAnsiTheme="minorHAnsi"/>
        </w:rPr>
      </w:pPr>
    </w:p>
    <w:p w:rsidR="00B46E7D" w:rsidRPr="00503B99" w:rsidRDefault="00B46E7D" w:rsidP="006C15D7">
      <w:pPr>
        <w:spacing w:after="0" w:line="320" w:lineRule="exact"/>
        <w:rPr>
          <w:rFonts w:asciiTheme="minorHAnsi" w:hAnsiTheme="minorHAnsi"/>
        </w:rPr>
      </w:pPr>
    </w:p>
    <w:p w:rsidR="008D1892" w:rsidRPr="008E69AE" w:rsidRDefault="000733C9" w:rsidP="008D1892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</w:rPr>
      </w:pPr>
      <w:bookmarkStart w:id="6" w:name="_FColor_Text_3"/>
      <w:bookmarkEnd w:id="0"/>
      <w:bookmarkEnd w:id="1"/>
      <w:bookmarkEnd w:id="2"/>
      <w:bookmarkEnd w:id="3"/>
      <w:bookmarkEnd w:id="4"/>
      <w:bookmarkEnd w:id="5"/>
      <w:r w:rsidRPr="008E69AE">
        <w:rPr>
          <w:rFonts w:ascii="Arial" w:hAnsi="Arial"/>
          <w:b/>
          <w:spacing w:val="0"/>
          <w:kern w:val="0"/>
          <w:sz w:val="24"/>
        </w:rPr>
        <w:t xml:space="preserve">ANDRITZ GROUP: </w:t>
      </w:r>
      <w:r w:rsidR="008E69AE" w:rsidRPr="008E69AE">
        <w:rPr>
          <w:rFonts w:ascii="Arial" w:hAnsi="Arial"/>
          <w:b/>
          <w:spacing w:val="0"/>
          <w:kern w:val="0"/>
          <w:sz w:val="24"/>
        </w:rPr>
        <w:t xml:space="preserve">favorable </w:t>
      </w:r>
      <w:r w:rsidR="008D1892" w:rsidRPr="008E69AE">
        <w:rPr>
          <w:rFonts w:ascii="Arial" w:hAnsi="Arial"/>
          <w:b/>
          <w:spacing w:val="0"/>
          <w:kern w:val="0"/>
          <w:sz w:val="24"/>
        </w:rPr>
        <w:t>business development in the third quarter of 201</w:t>
      </w:r>
      <w:r w:rsidR="008E69AE" w:rsidRPr="008E69AE">
        <w:rPr>
          <w:rFonts w:ascii="Arial" w:hAnsi="Arial"/>
          <w:b/>
          <w:spacing w:val="0"/>
          <w:kern w:val="0"/>
          <w:sz w:val="24"/>
        </w:rPr>
        <w:t>5</w:t>
      </w:r>
    </w:p>
    <w:p w:rsidR="008D1892" w:rsidRPr="008E69AE" w:rsidRDefault="008D1892" w:rsidP="008D1892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</w:p>
    <w:p w:rsidR="008D1892" w:rsidRDefault="008D1892" w:rsidP="008D1892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</w:rPr>
      </w:pPr>
      <w:r w:rsidRPr="008E69AE">
        <w:rPr>
          <w:rFonts w:ascii="Arial" w:hAnsi="Arial"/>
          <w:b/>
          <w:spacing w:val="0"/>
          <w:kern w:val="0"/>
          <w:sz w:val="20"/>
        </w:rPr>
        <w:t>Graz, November 6, 201</w:t>
      </w:r>
      <w:r w:rsidR="008E69AE" w:rsidRPr="008E69AE">
        <w:rPr>
          <w:rFonts w:ascii="Arial" w:hAnsi="Arial"/>
          <w:b/>
          <w:spacing w:val="0"/>
          <w:kern w:val="0"/>
          <w:sz w:val="20"/>
        </w:rPr>
        <w:t>5</w:t>
      </w:r>
      <w:r w:rsidR="00867017" w:rsidRPr="008E69AE">
        <w:rPr>
          <w:rFonts w:ascii="Arial" w:hAnsi="Arial"/>
          <w:b/>
          <w:spacing w:val="0"/>
          <w:kern w:val="0"/>
          <w:sz w:val="20"/>
        </w:rPr>
        <w:t>.</w:t>
      </w:r>
      <w:r w:rsidRPr="008E69AE">
        <w:rPr>
          <w:rFonts w:ascii="Arial" w:hAnsi="Arial"/>
          <w:b/>
          <w:spacing w:val="0"/>
          <w:kern w:val="0"/>
          <w:sz w:val="20"/>
        </w:rPr>
        <w:t xml:space="preserve">  </w:t>
      </w:r>
      <w:r w:rsidR="00A17AF0" w:rsidRPr="008E69AE">
        <w:rPr>
          <w:rFonts w:ascii="Arial" w:hAnsi="Arial"/>
          <w:spacing w:val="0"/>
          <w:kern w:val="0"/>
          <w:sz w:val="20"/>
        </w:rPr>
        <w:t>In the third quarter of 201</w:t>
      </w:r>
      <w:r w:rsidR="008E69AE">
        <w:rPr>
          <w:rFonts w:ascii="Arial" w:hAnsi="Arial"/>
          <w:spacing w:val="0"/>
          <w:kern w:val="0"/>
          <w:sz w:val="20"/>
        </w:rPr>
        <w:t>5</w:t>
      </w:r>
      <w:r w:rsidR="00A17AF0" w:rsidRPr="008E69AE">
        <w:rPr>
          <w:rFonts w:ascii="Arial" w:hAnsi="Arial"/>
          <w:spacing w:val="0"/>
          <w:kern w:val="0"/>
          <w:sz w:val="20"/>
        </w:rPr>
        <w:t>, i</w:t>
      </w:r>
      <w:r w:rsidRPr="008E69AE">
        <w:rPr>
          <w:rFonts w:ascii="Arial" w:hAnsi="Arial"/>
          <w:spacing w:val="0"/>
          <w:kern w:val="0"/>
          <w:sz w:val="20"/>
        </w:rPr>
        <w:t xml:space="preserve">nternational technology Group ANDRITZ showed </w:t>
      </w:r>
      <w:r w:rsidR="008E69AE">
        <w:rPr>
          <w:rFonts w:ascii="Arial" w:hAnsi="Arial"/>
          <w:spacing w:val="0"/>
          <w:kern w:val="0"/>
          <w:sz w:val="20"/>
        </w:rPr>
        <w:br/>
        <w:t xml:space="preserve">a favorable </w:t>
      </w:r>
      <w:r w:rsidRPr="008E69AE">
        <w:rPr>
          <w:rFonts w:ascii="Arial" w:hAnsi="Arial"/>
          <w:spacing w:val="0"/>
          <w:kern w:val="0"/>
          <w:sz w:val="20"/>
        </w:rPr>
        <w:t>business development</w:t>
      </w:r>
      <w:r w:rsidR="00867017" w:rsidRPr="008E69AE">
        <w:rPr>
          <w:rFonts w:ascii="Arial" w:hAnsi="Arial"/>
          <w:spacing w:val="0"/>
          <w:kern w:val="0"/>
          <w:sz w:val="20"/>
        </w:rPr>
        <w:t>:</w:t>
      </w:r>
    </w:p>
    <w:p w:rsidR="008B7664" w:rsidRPr="005E77D4" w:rsidRDefault="00491EFA" w:rsidP="005E77D4">
      <w:pPr>
        <w:pStyle w:val="Listenabsatz"/>
        <w:numPr>
          <w:ilvl w:val="0"/>
          <w:numId w:val="49"/>
        </w:numPr>
        <w:spacing w:after="0" w:line="320" w:lineRule="exact"/>
        <w:ind w:left="284" w:hanging="284"/>
        <w:jc w:val="left"/>
        <w:rPr>
          <w:rFonts w:ascii="Arial" w:hAnsi="Arial"/>
          <w:spacing w:val="0"/>
          <w:kern w:val="0"/>
          <w:sz w:val="20"/>
        </w:rPr>
      </w:pPr>
      <w:r w:rsidRPr="005E77D4">
        <w:rPr>
          <w:rFonts w:ascii="Arial" w:hAnsi="Arial"/>
          <w:spacing w:val="0"/>
          <w:kern w:val="0"/>
          <w:sz w:val="20"/>
          <w:u w:val="single"/>
        </w:rPr>
        <w:t>Sales</w:t>
      </w:r>
      <w:r w:rsidRPr="005E77D4">
        <w:rPr>
          <w:rFonts w:ascii="Arial" w:hAnsi="Arial"/>
          <w:spacing w:val="0"/>
          <w:kern w:val="0"/>
          <w:sz w:val="20"/>
        </w:rPr>
        <w:t xml:space="preserve"> amounted to </w:t>
      </w:r>
      <w:r w:rsidRPr="005E77D4">
        <w:rPr>
          <w:rFonts w:ascii="Arial" w:hAnsi="Arial"/>
          <w:spacing w:val="0"/>
          <w:kern w:val="0"/>
          <w:sz w:val="20"/>
        </w:rPr>
        <w:fldChar w:fldCharType="begin" w:fldLock="1"/>
      </w:r>
      <w:r w:rsidRPr="005E77D4">
        <w:rPr>
          <w:rFonts w:ascii="Arial" w:hAnsi="Arial"/>
          <w:spacing w:val="0"/>
          <w:kern w:val="0"/>
          <w:sz w:val="20"/>
        </w:rPr>
        <w:instrText>QUOTE "1,583.5"</w:instrText>
      </w:r>
      <w:r w:rsidRPr="005E77D4">
        <w:rPr>
          <w:rFonts w:ascii="Arial" w:hAnsi="Arial"/>
          <w:spacing w:val="0"/>
          <w:kern w:val="0"/>
          <w:sz w:val="20"/>
        </w:rPr>
        <w:fldChar w:fldCharType="separate"/>
      </w:r>
      <w:r w:rsidRPr="005E77D4">
        <w:rPr>
          <w:rFonts w:ascii="Arial" w:hAnsi="Arial"/>
          <w:spacing w:val="0"/>
          <w:kern w:val="0"/>
          <w:sz w:val="20"/>
        </w:rPr>
        <w:t>1,583.5</w:t>
      </w:r>
      <w:r w:rsidRPr="005E77D4">
        <w:rPr>
          <w:rFonts w:ascii="Arial" w:hAnsi="Arial"/>
          <w:spacing w:val="0"/>
          <w:kern w:val="0"/>
          <w:sz w:val="20"/>
        </w:rPr>
        <w:fldChar w:fldCharType="end"/>
      </w:r>
      <w:r w:rsidRPr="005E77D4">
        <w:rPr>
          <w:rFonts w:ascii="Arial" w:hAnsi="Arial"/>
          <w:spacing w:val="0"/>
          <w:kern w:val="0"/>
          <w:sz w:val="20"/>
        </w:rPr>
        <w:t xml:space="preserve"> MEUR in the third quarter of 2015 and were thus </w:t>
      </w:r>
      <w:r w:rsidRPr="005E77D4">
        <w:rPr>
          <w:rFonts w:ascii="Arial" w:hAnsi="Arial"/>
          <w:spacing w:val="0"/>
          <w:kern w:val="0"/>
          <w:sz w:val="20"/>
        </w:rPr>
        <w:fldChar w:fldCharType="begin" w:fldLock="1"/>
      </w:r>
      <w:r w:rsidRPr="005E77D4">
        <w:rPr>
          <w:rFonts w:ascii="Arial" w:hAnsi="Arial"/>
          <w:spacing w:val="0"/>
          <w:kern w:val="0"/>
          <w:sz w:val="20"/>
        </w:rPr>
        <w:instrText>QUOTE "8.2%"</w:instrText>
      </w:r>
      <w:r w:rsidRPr="005E77D4">
        <w:rPr>
          <w:rFonts w:ascii="Arial" w:hAnsi="Arial"/>
          <w:spacing w:val="0"/>
          <w:kern w:val="0"/>
          <w:sz w:val="20"/>
        </w:rPr>
        <w:fldChar w:fldCharType="separate"/>
      </w:r>
      <w:r w:rsidRPr="005E77D4">
        <w:rPr>
          <w:rFonts w:ascii="Arial" w:hAnsi="Arial"/>
          <w:spacing w:val="0"/>
          <w:kern w:val="0"/>
          <w:sz w:val="20"/>
        </w:rPr>
        <w:t>8.2%</w:t>
      </w:r>
      <w:r w:rsidRPr="005E77D4">
        <w:rPr>
          <w:rFonts w:ascii="Arial" w:hAnsi="Arial"/>
          <w:spacing w:val="0"/>
          <w:kern w:val="0"/>
          <w:sz w:val="20"/>
        </w:rPr>
        <w:fldChar w:fldCharType="end"/>
      </w:r>
      <w:r w:rsidRPr="005E77D4">
        <w:rPr>
          <w:rFonts w:ascii="Arial" w:hAnsi="Arial"/>
          <w:spacing w:val="0"/>
          <w:kern w:val="0"/>
          <w:sz w:val="20"/>
        </w:rPr>
        <w:t xml:space="preserve"> higher than the figure in the third quarter of 2014</w:t>
      </w:r>
      <w:r w:rsidRPr="005E77D4">
        <w:rPr>
          <w:rFonts w:ascii="Arial" w:hAnsi="Arial"/>
          <w:spacing w:val="0"/>
          <w:kern w:val="0"/>
          <w:sz w:val="20"/>
        </w:rPr>
        <w:fldChar w:fldCharType="begin" w:fldLock="1"/>
      </w:r>
      <w:r w:rsidRPr="005E77D4">
        <w:rPr>
          <w:rFonts w:ascii="Arial" w:hAnsi="Arial"/>
          <w:spacing w:val="0"/>
          <w:kern w:val="0"/>
          <w:sz w:val="20"/>
        </w:rPr>
        <w:instrText>QUOTE "-100.0%"</w:instrText>
      </w:r>
      <w:r w:rsidRPr="005E77D4">
        <w:rPr>
          <w:rFonts w:ascii="Arial" w:hAnsi="Arial"/>
          <w:spacing w:val="0"/>
          <w:kern w:val="0"/>
          <w:sz w:val="20"/>
        </w:rPr>
        <w:fldChar w:fldCharType="end"/>
      </w:r>
      <w:r w:rsidRPr="005E77D4">
        <w:rPr>
          <w:rFonts w:ascii="Arial" w:hAnsi="Arial"/>
          <w:spacing w:val="0"/>
          <w:kern w:val="0"/>
          <w:sz w:val="20"/>
        </w:rPr>
        <w:t xml:space="preserve"> (</w:t>
      </w:r>
      <w:r w:rsidRPr="005E77D4">
        <w:rPr>
          <w:rFonts w:ascii="Arial" w:hAnsi="Arial"/>
          <w:spacing w:val="0"/>
          <w:kern w:val="0"/>
          <w:sz w:val="20"/>
        </w:rPr>
        <w:fldChar w:fldCharType="begin" w:fldLock="1"/>
      </w:r>
      <w:r w:rsidRPr="005E77D4">
        <w:rPr>
          <w:rFonts w:ascii="Arial" w:hAnsi="Arial"/>
          <w:spacing w:val="0"/>
          <w:kern w:val="0"/>
          <w:sz w:val="20"/>
        </w:rPr>
        <w:instrText>QUOTE "1,463.5"</w:instrText>
      </w:r>
      <w:r w:rsidRPr="005E77D4">
        <w:rPr>
          <w:rFonts w:ascii="Arial" w:hAnsi="Arial"/>
          <w:spacing w:val="0"/>
          <w:kern w:val="0"/>
          <w:sz w:val="20"/>
        </w:rPr>
        <w:fldChar w:fldCharType="separate"/>
      </w:r>
      <w:r w:rsidRPr="005E77D4">
        <w:rPr>
          <w:rFonts w:ascii="Arial" w:hAnsi="Arial"/>
          <w:spacing w:val="0"/>
          <w:kern w:val="0"/>
          <w:sz w:val="20"/>
        </w:rPr>
        <w:t>1,463.5</w:t>
      </w:r>
      <w:r w:rsidRPr="005E77D4">
        <w:rPr>
          <w:rFonts w:ascii="Arial" w:hAnsi="Arial"/>
          <w:spacing w:val="0"/>
          <w:kern w:val="0"/>
          <w:sz w:val="20"/>
        </w:rPr>
        <w:fldChar w:fldCharType="end"/>
      </w:r>
      <w:r w:rsidRPr="005E77D4">
        <w:rPr>
          <w:rFonts w:ascii="Arial" w:hAnsi="Arial"/>
          <w:spacing w:val="0"/>
          <w:kern w:val="0"/>
          <w:sz w:val="20"/>
        </w:rPr>
        <w:t> MEUR)</w:t>
      </w:r>
      <w:r w:rsidR="008B7664" w:rsidRPr="005E77D4">
        <w:rPr>
          <w:rFonts w:ascii="Arial" w:hAnsi="Arial"/>
          <w:spacing w:val="0"/>
          <w:kern w:val="0"/>
          <w:sz w:val="20"/>
        </w:rPr>
        <w:t>, with a</w:t>
      </w:r>
      <w:r w:rsidRPr="005E77D4">
        <w:rPr>
          <w:rFonts w:ascii="Arial" w:hAnsi="Arial"/>
          <w:spacing w:val="0"/>
          <w:kern w:val="0"/>
          <w:sz w:val="20"/>
        </w:rPr>
        <w:t>ll four business areas increas</w:t>
      </w:r>
      <w:r w:rsidR="008B7664" w:rsidRPr="005E77D4">
        <w:rPr>
          <w:rFonts w:ascii="Arial" w:hAnsi="Arial"/>
          <w:spacing w:val="0"/>
          <w:kern w:val="0"/>
          <w:sz w:val="20"/>
        </w:rPr>
        <w:t xml:space="preserve">ing </w:t>
      </w:r>
      <w:r w:rsidRPr="005E77D4">
        <w:rPr>
          <w:rFonts w:ascii="Arial" w:hAnsi="Arial"/>
          <w:spacing w:val="0"/>
          <w:kern w:val="0"/>
          <w:sz w:val="20"/>
        </w:rPr>
        <w:t>their sales</w:t>
      </w:r>
      <w:r w:rsidR="008B7664" w:rsidRPr="005E77D4">
        <w:rPr>
          <w:rFonts w:ascii="Arial" w:hAnsi="Arial"/>
          <w:spacing w:val="0"/>
          <w:kern w:val="0"/>
          <w:sz w:val="20"/>
        </w:rPr>
        <w:t>. In the first three quarters of 2015, Group sales rose by 11.3% to 4,589.1 MEUR compared to last yearʼs reference period (Q1-Q3 2014: 4,122.9 MEUR).</w:t>
      </w:r>
    </w:p>
    <w:p w:rsidR="00091DCC" w:rsidRPr="005E77D4" w:rsidRDefault="008B7664" w:rsidP="005E77D4">
      <w:pPr>
        <w:pStyle w:val="Listenabsatz"/>
        <w:numPr>
          <w:ilvl w:val="0"/>
          <w:numId w:val="49"/>
        </w:numPr>
        <w:spacing w:after="0" w:line="320" w:lineRule="exact"/>
        <w:ind w:left="284" w:hanging="284"/>
        <w:jc w:val="left"/>
        <w:rPr>
          <w:rFonts w:ascii="Arial" w:hAnsi="Arial"/>
          <w:spacing w:val="0"/>
          <w:kern w:val="0"/>
          <w:sz w:val="20"/>
        </w:rPr>
      </w:pPr>
      <w:r w:rsidRPr="005E77D4">
        <w:rPr>
          <w:rFonts w:ascii="Arial" w:hAnsi="Arial"/>
          <w:spacing w:val="0"/>
          <w:kern w:val="0"/>
          <w:sz w:val="20"/>
        </w:rPr>
        <w:t xml:space="preserve">The </w:t>
      </w:r>
      <w:r w:rsidRPr="00F304DC">
        <w:rPr>
          <w:rFonts w:ascii="Arial" w:hAnsi="Arial"/>
          <w:spacing w:val="0"/>
          <w:kern w:val="0"/>
          <w:sz w:val="20"/>
          <w:u w:val="single"/>
        </w:rPr>
        <w:t>order intake</w:t>
      </w:r>
      <w:r w:rsidRPr="005E77D4">
        <w:rPr>
          <w:rFonts w:ascii="Arial" w:hAnsi="Arial"/>
          <w:spacing w:val="0"/>
          <w:kern w:val="0"/>
          <w:sz w:val="20"/>
        </w:rPr>
        <w:t xml:space="preserve"> in the third quarter of 2015, at 1,187.6 MEUR, was 25.4% below the high figure for the p</w:t>
      </w:r>
      <w:r w:rsidR="008E580C" w:rsidRPr="005E77D4">
        <w:rPr>
          <w:rFonts w:ascii="Arial" w:hAnsi="Arial"/>
          <w:spacing w:val="0"/>
          <w:kern w:val="0"/>
          <w:sz w:val="20"/>
        </w:rPr>
        <w:t xml:space="preserve">revious yearʼs reference period </w:t>
      </w:r>
      <w:r w:rsidRPr="005E77D4">
        <w:rPr>
          <w:rFonts w:ascii="Arial" w:hAnsi="Arial"/>
          <w:spacing w:val="0"/>
          <w:kern w:val="0"/>
          <w:sz w:val="20"/>
        </w:rPr>
        <w:t>(Q3 2014: 1,591.5 MEUR)</w:t>
      </w:r>
      <w:r w:rsidR="008E580C" w:rsidRPr="005E77D4">
        <w:rPr>
          <w:rFonts w:ascii="Arial" w:hAnsi="Arial"/>
          <w:spacing w:val="0"/>
          <w:kern w:val="0"/>
          <w:sz w:val="20"/>
        </w:rPr>
        <w:t>, which included some large orders in the PULP &amp; PAPER and METALS business areas.</w:t>
      </w:r>
      <w:r w:rsidR="0007745F" w:rsidRPr="005E77D4">
        <w:rPr>
          <w:rFonts w:ascii="Arial" w:hAnsi="Arial"/>
          <w:spacing w:val="0"/>
          <w:kern w:val="0"/>
          <w:sz w:val="20"/>
        </w:rPr>
        <w:t xml:space="preserve"> In connection with the decline in order intake it has to be mentioned that the large order awarded to ANDRITZ by Fibria in July 2015 to supply equipment for a new pulp mill in Brazil </w:t>
      </w:r>
      <w:r w:rsidR="00792A6E">
        <w:rPr>
          <w:rFonts w:ascii="Arial" w:hAnsi="Arial"/>
          <w:spacing w:val="0"/>
          <w:kern w:val="0"/>
          <w:sz w:val="20"/>
        </w:rPr>
        <w:t xml:space="preserve">was </w:t>
      </w:r>
      <w:r w:rsidR="00BE1BBB">
        <w:rPr>
          <w:rFonts w:ascii="Arial" w:hAnsi="Arial"/>
          <w:spacing w:val="0"/>
          <w:kern w:val="0"/>
          <w:sz w:val="20"/>
        </w:rPr>
        <w:t xml:space="preserve">booked </w:t>
      </w:r>
      <w:r w:rsidR="0007745F" w:rsidRPr="005E77D4">
        <w:rPr>
          <w:rFonts w:ascii="Arial" w:hAnsi="Arial"/>
          <w:spacing w:val="0"/>
          <w:kern w:val="0"/>
          <w:sz w:val="20"/>
        </w:rPr>
        <w:t xml:space="preserve">in the fourth quarter of 2015; typical order values of comparable projects are about 600 MEUR. In the first three quarters of 2015, the order intake amounted to 3,767.6 MEUR and was thus 17.6% below the </w:t>
      </w:r>
      <w:r w:rsidR="00091DCC" w:rsidRPr="005E77D4">
        <w:rPr>
          <w:rFonts w:ascii="Arial" w:hAnsi="Arial"/>
          <w:spacing w:val="0"/>
          <w:kern w:val="0"/>
          <w:sz w:val="20"/>
        </w:rPr>
        <w:t xml:space="preserve">high </w:t>
      </w:r>
      <w:r w:rsidR="0007745F" w:rsidRPr="005E77D4">
        <w:rPr>
          <w:rFonts w:ascii="Arial" w:hAnsi="Arial"/>
          <w:spacing w:val="0"/>
          <w:kern w:val="0"/>
          <w:sz w:val="20"/>
        </w:rPr>
        <w:t>previous year’s reference figure (Q1-Q3 2014: 4,571.6</w:t>
      </w:r>
      <w:r w:rsidR="00091DCC" w:rsidRPr="005E77D4">
        <w:rPr>
          <w:rFonts w:ascii="Arial" w:hAnsi="Arial"/>
          <w:spacing w:val="0"/>
          <w:kern w:val="0"/>
          <w:sz w:val="20"/>
        </w:rPr>
        <w:t> MEUR</w:t>
      </w:r>
      <w:r w:rsidR="0007745F" w:rsidRPr="005E77D4">
        <w:rPr>
          <w:rFonts w:ascii="Arial" w:hAnsi="Arial"/>
          <w:spacing w:val="0"/>
          <w:kern w:val="0"/>
          <w:sz w:val="20"/>
        </w:rPr>
        <w:t>).</w:t>
      </w:r>
    </w:p>
    <w:p w:rsidR="005E77D4" w:rsidRPr="005E77D4" w:rsidRDefault="005E77D4" w:rsidP="0058598A">
      <w:pPr>
        <w:pStyle w:val="Listenabsatz"/>
        <w:numPr>
          <w:ilvl w:val="0"/>
          <w:numId w:val="49"/>
        </w:numPr>
        <w:spacing w:after="0" w:line="320" w:lineRule="exact"/>
        <w:ind w:left="284" w:hanging="284"/>
        <w:jc w:val="left"/>
        <w:rPr>
          <w:rFonts w:ascii="Arial" w:hAnsi="Arial"/>
          <w:spacing w:val="0"/>
          <w:kern w:val="0"/>
          <w:sz w:val="20"/>
        </w:rPr>
      </w:pPr>
      <w:r w:rsidRPr="00F304DC">
        <w:rPr>
          <w:rFonts w:ascii="Arial" w:hAnsi="Arial"/>
          <w:spacing w:val="0"/>
          <w:kern w:val="0"/>
          <w:sz w:val="20"/>
          <w:u w:val="single"/>
        </w:rPr>
        <w:t>E</w:t>
      </w:r>
      <w:r w:rsidR="00091DCC" w:rsidRPr="00F304DC">
        <w:rPr>
          <w:rFonts w:ascii="Arial" w:hAnsi="Arial"/>
          <w:spacing w:val="0"/>
          <w:kern w:val="0"/>
          <w:sz w:val="20"/>
          <w:u w:val="single"/>
        </w:rPr>
        <w:t>arnings</w:t>
      </w:r>
      <w:r w:rsidR="00091DCC" w:rsidRPr="005E77D4">
        <w:rPr>
          <w:rFonts w:ascii="Arial" w:hAnsi="Arial"/>
          <w:spacing w:val="0"/>
          <w:kern w:val="0"/>
          <w:sz w:val="20"/>
        </w:rPr>
        <w:t xml:space="preserve"> of the AND</w:t>
      </w:r>
      <w:r w:rsidR="0058598A">
        <w:rPr>
          <w:rFonts w:ascii="Arial" w:hAnsi="Arial"/>
          <w:spacing w:val="0"/>
          <w:kern w:val="0"/>
          <w:sz w:val="20"/>
        </w:rPr>
        <w:t xml:space="preserve">RITZ GROUP developed favorably. </w:t>
      </w:r>
      <w:r w:rsidR="0058598A" w:rsidRPr="0058598A">
        <w:rPr>
          <w:rFonts w:ascii="Arial" w:hAnsi="Arial"/>
          <w:spacing w:val="0"/>
          <w:kern w:val="0"/>
          <w:sz w:val="20"/>
        </w:rPr>
        <w:t xml:space="preserve">In the third quarter of 2015, EBITA rose to 110.1 MEUR, which is an increase of 9.0% compared to the previous </w:t>
      </w:r>
      <w:proofErr w:type="spellStart"/>
      <w:r w:rsidR="0058598A" w:rsidRPr="0058598A">
        <w:rPr>
          <w:rFonts w:ascii="Arial" w:hAnsi="Arial"/>
          <w:spacing w:val="0"/>
          <w:kern w:val="0"/>
          <w:sz w:val="20"/>
        </w:rPr>
        <w:t>yearʼs</w:t>
      </w:r>
      <w:proofErr w:type="spellEnd"/>
      <w:r w:rsidR="0058598A" w:rsidRPr="0058598A">
        <w:rPr>
          <w:rFonts w:ascii="Arial" w:hAnsi="Arial"/>
          <w:spacing w:val="0"/>
          <w:kern w:val="0"/>
          <w:sz w:val="20"/>
        </w:rPr>
        <w:t xml:space="preserve"> reference figure (Q3 2014: 101.0 MEUR).</w:t>
      </w:r>
      <w:r w:rsidR="0058598A">
        <w:rPr>
          <w:rFonts w:ascii="Arial" w:hAnsi="Arial"/>
          <w:spacing w:val="0"/>
          <w:kern w:val="0"/>
          <w:sz w:val="20"/>
        </w:rPr>
        <w:t xml:space="preserve"> </w:t>
      </w:r>
      <w:bookmarkStart w:id="7" w:name="_GoBack"/>
      <w:bookmarkEnd w:id="7"/>
      <w:r w:rsidR="00091DCC" w:rsidRPr="005E77D4">
        <w:rPr>
          <w:rFonts w:ascii="Arial" w:hAnsi="Arial"/>
          <w:spacing w:val="0"/>
          <w:kern w:val="0"/>
          <w:sz w:val="20"/>
        </w:rPr>
        <w:t xml:space="preserve">The EBITA margin </w:t>
      </w:r>
      <w:r w:rsidR="00881833" w:rsidRPr="005E77D4">
        <w:rPr>
          <w:rFonts w:ascii="Arial" w:hAnsi="Arial"/>
          <w:spacing w:val="0"/>
          <w:kern w:val="0"/>
          <w:sz w:val="20"/>
        </w:rPr>
        <w:t xml:space="preserve">amounted </w:t>
      </w:r>
      <w:r w:rsidR="00091DCC" w:rsidRPr="005E77D4">
        <w:rPr>
          <w:rFonts w:ascii="Arial" w:hAnsi="Arial"/>
          <w:spacing w:val="0"/>
          <w:kern w:val="0"/>
          <w:sz w:val="20"/>
        </w:rPr>
        <w:t xml:space="preserve">to 7.0% (Q3 2014: 6.9%). As announced at the end of August 2015, around 55 MEUR of financial provisions were booked </w:t>
      </w:r>
      <w:r w:rsidR="006D0EB2" w:rsidRPr="005E77D4">
        <w:rPr>
          <w:rFonts w:ascii="Arial" w:hAnsi="Arial"/>
          <w:spacing w:val="0"/>
          <w:kern w:val="0"/>
          <w:sz w:val="20"/>
        </w:rPr>
        <w:t xml:space="preserve">in the reporting period </w:t>
      </w:r>
      <w:r w:rsidR="00091DCC" w:rsidRPr="005E77D4">
        <w:rPr>
          <w:rFonts w:ascii="Arial" w:hAnsi="Arial"/>
          <w:spacing w:val="0"/>
          <w:kern w:val="0"/>
          <w:sz w:val="20"/>
        </w:rPr>
        <w:t>for optimization of the value chain at Schuler. These provisions were partly offset by project-related one-</w:t>
      </w:r>
      <w:r w:rsidR="009718D4">
        <w:rPr>
          <w:rFonts w:ascii="Arial" w:hAnsi="Arial"/>
          <w:spacing w:val="0"/>
          <w:kern w:val="0"/>
          <w:sz w:val="20"/>
        </w:rPr>
        <w:t>off</w:t>
      </w:r>
      <w:r w:rsidR="009718D4" w:rsidRPr="005E77D4">
        <w:rPr>
          <w:rFonts w:ascii="Arial" w:hAnsi="Arial"/>
          <w:spacing w:val="0"/>
          <w:kern w:val="0"/>
          <w:sz w:val="20"/>
        </w:rPr>
        <w:t xml:space="preserve"> </w:t>
      </w:r>
      <w:r w:rsidR="00091DCC" w:rsidRPr="005E77D4">
        <w:rPr>
          <w:rFonts w:ascii="Arial" w:hAnsi="Arial"/>
          <w:spacing w:val="0"/>
          <w:kern w:val="0"/>
          <w:sz w:val="20"/>
        </w:rPr>
        <w:t>improvements in the amount of approximately 30</w:t>
      </w:r>
      <w:r w:rsidR="006D0EB2" w:rsidRPr="005E77D4">
        <w:rPr>
          <w:rFonts w:ascii="Arial" w:hAnsi="Arial"/>
          <w:spacing w:val="0"/>
          <w:kern w:val="0"/>
          <w:sz w:val="20"/>
        </w:rPr>
        <w:t> </w:t>
      </w:r>
      <w:r w:rsidR="00091DCC" w:rsidRPr="005E77D4">
        <w:rPr>
          <w:rFonts w:ascii="Arial" w:hAnsi="Arial"/>
          <w:spacing w:val="0"/>
          <w:kern w:val="0"/>
          <w:sz w:val="20"/>
        </w:rPr>
        <w:t>MEUR in the PULP &amp; PAPER business area. After adjustment of these extraordinary effects, the Groupʼs EBITA amounted to 13</w:t>
      </w:r>
      <w:r w:rsidR="00ED4A97">
        <w:rPr>
          <w:rFonts w:ascii="Arial" w:hAnsi="Arial"/>
          <w:spacing w:val="0"/>
          <w:kern w:val="0"/>
          <w:sz w:val="20"/>
        </w:rPr>
        <w:t>5</w:t>
      </w:r>
      <w:r w:rsidR="00091DCC" w:rsidRPr="005E77D4">
        <w:rPr>
          <w:rFonts w:ascii="Arial" w:hAnsi="Arial"/>
          <w:spacing w:val="0"/>
          <w:kern w:val="0"/>
          <w:sz w:val="20"/>
        </w:rPr>
        <w:t>.</w:t>
      </w:r>
      <w:r w:rsidR="00ED4A97">
        <w:rPr>
          <w:rFonts w:ascii="Arial" w:hAnsi="Arial"/>
          <w:spacing w:val="0"/>
          <w:kern w:val="0"/>
          <w:sz w:val="20"/>
        </w:rPr>
        <w:t>1</w:t>
      </w:r>
      <w:r w:rsidR="00091DCC" w:rsidRPr="005E77D4">
        <w:rPr>
          <w:rFonts w:ascii="Arial" w:hAnsi="Arial"/>
          <w:spacing w:val="0"/>
          <w:kern w:val="0"/>
          <w:sz w:val="20"/>
        </w:rPr>
        <w:t xml:space="preserve"> MEUR and the EBITA margin to 8.</w:t>
      </w:r>
      <w:r w:rsidR="004C6966">
        <w:rPr>
          <w:rFonts w:ascii="Arial" w:hAnsi="Arial"/>
          <w:spacing w:val="0"/>
          <w:kern w:val="0"/>
          <w:sz w:val="20"/>
        </w:rPr>
        <w:t>5</w:t>
      </w:r>
      <w:r w:rsidR="00091DCC" w:rsidRPr="005E77D4">
        <w:rPr>
          <w:rFonts w:ascii="Arial" w:hAnsi="Arial"/>
          <w:spacing w:val="0"/>
          <w:kern w:val="0"/>
          <w:sz w:val="20"/>
        </w:rPr>
        <w:t>% in the third quarter of 2015.</w:t>
      </w:r>
      <w:r w:rsidR="006D0EB2" w:rsidRPr="005E77D4">
        <w:rPr>
          <w:rFonts w:ascii="Arial" w:hAnsi="Arial"/>
          <w:spacing w:val="0"/>
          <w:kern w:val="0"/>
          <w:sz w:val="20"/>
        </w:rPr>
        <w:t xml:space="preserve"> </w:t>
      </w:r>
      <w:r w:rsidRPr="005E77D4">
        <w:rPr>
          <w:rFonts w:ascii="Arial" w:hAnsi="Arial"/>
          <w:spacing w:val="0"/>
          <w:kern w:val="0"/>
          <w:sz w:val="20"/>
        </w:rPr>
        <w:t>E</w:t>
      </w:r>
      <w:r w:rsidR="006D0EB2" w:rsidRPr="005E77D4">
        <w:rPr>
          <w:rFonts w:ascii="Arial" w:hAnsi="Arial"/>
          <w:spacing w:val="0"/>
          <w:kern w:val="0"/>
          <w:sz w:val="20"/>
        </w:rPr>
        <w:t>arnings also increased substantially in the first three quarters of 2015. At 295.</w:t>
      </w:r>
      <w:r w:rsidR="003F0E9C">
        <w:rPr>
          <w:rFonts w:ascii="Arial" w:hAnsi="Arial"/>
          <w:spacing w:val="0"/>
          <w:kern w:val="0"/>
          <w:sz w:val="20"/>
        </w:rPr>
        <w:t>0</w:t>
      </w:r>
      <w:r w:rsidR="006D0EB2" w:rsidRPr="005E77D4">
        <w:rPr>
          <w:rFonts w:ascii="Arial" w:hAnsi="Arial"/>
          <w:spacing w:val="0"/>
          <w:kern w:val="0"/>
          <w:sz w:val="20"/>
        </w:rPr>
        <w:t xml:space="preserve"> MEUR, the EBITA was 25.9% higher than the figure for the previous yearʼs reference period (Q1-Q3 2014: 234.4</w:t>
      </w:r>
      <w:r w:rsidR="00F304DC">
        <w:rPr>
          <w:rFonts w:ascii="Arial" w:hAnsi="Arial"/>
          <w:spacing w:val="0"/>
          <w:kern w:val="0"/>
          <w:sz w:val="20"/>
        </w:rPr>
        <w:t> </w:t>
      </w:r>
      <w:r w:rsidR="006D0EB2" w:rsidRPr="005E77D4">
        <w:rPr>
          <w:rFonts w:ascii="Arial" w:hAnsi="Arial"/>
          <w:spacing w:val="0"/>
          <w:kern w:val="0"/>
          <w:sz w:val="20"/>
        </w:rPr>
        <w:t>MEUR), while the EBITA margin amounted to 6.4% (Q1-Q3 2014: 5.7%). Excluding the extraordinary effects booked in the third quarter of 2015, the EBITA increased to 32</w:t>
      </w:r>
      <w:r w:rsidR="004C6966">
        <w:rPr>
          <w:rFonts w:ascii="Arial" w:hAnsi="Arial"/>
          <w:spacing w:val="0"/>
          <w:kern w:val="0"/>
          <w:sz w:val="20"/>
        </w:rPr>
        <w:t>0</w:t>
      </w:r>
      <w:r w:rsidR="006D0EB2" w:rsidRPr="005E77D4">
        <w:rPr>
          <w:rFonts w:ascii="Arial" w:hAnsi="Arial"/>
          <w:spacing w:val="0"/>
          <w:kern w:val="0"/>
          <w:sz w:val="20"/>
        </w:rPr>
        <w:t>.</w:t>
      </w:r>
      <w:r w:rsidR="004C6966">
        <w:rPr>
          <w:rFonts w:ascii="Arial" w:hAnsi="Arial"/>
          <w:spacing w:val="0"/>
          <w:kern w:val="0"/>
          <w:sz w:val="20"/>
        </w:rPr>
        <w:t>0</w:t>
      </w:r>
      <w:r w:rsidR="006D0EB2" w:rsidRPr="005E77D4">
        <w:rPr>
          <w:rFonts w:ascii="Arial" w:hAnsi="Arial"/>
          <w:spacing w:val="0"/>
          <w:kern w:val="0"/>
          <w:sz w:val="20"/>
        </w:rPr>
        <w:t xml:space="preserve"> MEUR and the EBITA margin to 7.0%.</w:t>
      </w:r>
    </w:p>
    <w:p w:rsidR="008D1892" w:rsidRDefault="005E77D4" w:rsidP="003B101D">
      <w:pPr>
        <w:pStyle w:val="Listenabsatz"/>
        <w:numPr>
          <w:ilvl w:val="0"/>
          <w:numId w:val="49"/>
        </w:numPr>
        <w:spacing w:after="0" w:line="320" w:lineRule="exact"/>
        <w:ind w:left="284" w:hanging="284"/>
        <w:jc w:val="left"/>
        <w:rPr>
          <w:rFonts w:ascii="Arial" w:hAnsi="Arial"/>
          <w:spacing w:val="0"/>
          <w:kern w:val="0"/>
          <w:sz w:val="20"/>
        </w:rPr>
      </w:pPr>
      <w:r w:rsidRPr="0058598A">
        <w:rPr>
          <w:rFonts w:ascii="Arial" w:hAnsi="Arial"/>
          <w:spacing w:val="0"/>
          <w:kern w:val="0"/>
          <w:sz w:val="20"/>
          <w:u w:val="single"/>
        </w:rPr>
        <w:t>Net income</w:t>
      </w:r>
      <w:r w:rsidRPr="005E77D4">
        <w:rPr>
          <w:rFonts w:ascii="Arial" w:hAnsi="Arial"/>
          <w:spacing w:val="0"/>
          <w:kern w:val="0"/>
          <w:sz w:val="20"/>
        </w:rPr>
        <w:t xml:space="preserve"> </w:t>
      </w:r>
      <w:r w:rsidR="003B101D" w:rsidRPr="003B101D">
        <w:rPr>
          <w:rFonts w:ascii="Arial" w:hAnsi="Arial"/>
          <w:spacing w:val="0"/>
          <w:kern w:val="0"/>
          <w:sz w:val="20"/>
        </w:rPr>
        <w:t>(without non-controlling interests)</w:t>
      </w:r>
      <w:r w:rsidR="003B101D">
        <w:rPr>
          <w:rFonts w:ascii="Arial" w:hAnsi="Arial"/>
          <w:spacing w:val="0"/>
          <w:kern w:val="0"/>
          <w:sz w:val="20"/>
        </w:rPr>
        <w:t xml:space="preserve"> </w:t>
      </w:r>
      <w:r w:rsidRPr="005E77D4">
        <w:rPr>
          <w:rFonts w:ascii="Arial" w:hAnsi="Arial"/>
          <w:spacing w:val="0"/>
          <w:kern w:val="0"/>
          <w:sz w:val="20"/>
        </w:rPr>
        <w:t xml:space="preserve">in the first three quarters </w:t>
      </w:r>
      <w:r w:rsidR="003F0E9C">
        <w:rPr>
          <w:rFonts w:ascii="Arial" w:hAnsi="Arial"/>
          <w:spacing w:val="0"/>
          <w:kern w:val="0"/>
          <w:sz w:val="20"/>
        </w:rPr>
        <w:t xml:space="preserve">of 2015 </w:t>
      </w:r>
      <w:r w:rsidRPr="005E77D4">
        <w:rPr>
          <w:rFonts w:ascii="Arial" w:hAnsi="Arial"/>
          <w:spacing w:val="0"/>
          <w:kern w:val="0"/>
          <w:sz w:val="20"/>
        </w:rPr>
        <w:t>reached 181.3 MEUR (Q1-Q3 2014: 123.6 MEUR).</w:t>
      </w:r>
    </w:p>
    <w:p w:rsidR="00F304DC" w:rsidRPr="00F304DC" w:rsidRDefault="00F304DC" w:rsidP="00F304DC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</w:rPr>
      </w:pPr>
    </w:p>
    <w:p w:rsidR="008D1892" w:rsidRPr="00503B99" w:rsidRDefault="008D1892" w:rsidP="0048422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  <w:r w:rsidRPr="008E69AE">
        <w:rPr>
          <w:rFonts w:ascii="Arial" w:hAnsi="Arial"/>
          <w:spacing w:val="0"/>
          <w:kern w:val="0"/>
          <w:sz w:val="20"/>
        </w:rPr>
        <w:t xml:space="preserve">On the basis of this business development, the </w:t>
      </w:r>
      <w:r w:rsidR="00F304DC">
        <w:rPr>
          <w:rFonts w:ascii="Arial" w:hAnsi="Arial"/>
          <w:spacing w:val="0"/>
          <w:kern w:val="0"/>
          <w:sz w:val="20"/>
        </w:rPr>
        <w:t xml:space="preserve">project activity in the ANDRITZ business </w:t>
      </w:r>
      <w:proofErr w:type="gramStart"/>
      <w:r w:rsidR="00F304DC">
        <w:rPr>
          <w:rFonts w:ascii="Arial" w:hAnsi="Arial"/>
          <w:spacing w:val="0"/>
          <w:kern w:val="0"/>
          <w:sz w:val="20"/>
        </w:rPr>
        <w:t>areas,</w:t>
      </w:r>
      <w:proofErr w:type="gramEnd"/>
      <w:r w:rsidR="00F304DC">
        <w:rPr>
          <w:rFonts w:ascii="Arial" w:hAnsi="Arial"/>
          <w:spacing w:val="0"/>
          <w:kern w:val="0"/>
          <w:sz w:val="20"/>
        </w:rPr>
        <w:t xml:space="preserve"> and the </w:t>
      </w:r>
      <w:r w:rsidRPr="008E69AE">
        <w:rPr>
          <w:rFonts w:ascii="Arial" w:hAnsi="Arial"/>
          <w:spacing w:val="0"/>
          <w:kern w:val="0"/>
          <w:sz w:val="20"/>
        </w:rPr>
        <w:t>order backlog</w:t>
      </w:r>
      <w:r w:rsidR="00EF56E3">
        <w:rPr>
          <w:rFonts w:ascii="Arial" w:hAnsi="Arial"/>
          <w:spacing w:val="0"/>
          <w:kern w:val="0"/>
          <w:sz w:val="20"/>
        </w:rPr>
        <w:t xml:space="preserve"> as of end of September 2015</w:t>
      </w:r>
      <w:r w:rsidRPr="008E69AE">
        <w:rPr>
          <w:rFonts w:ascii="Arial" w:hAnsi="Arial"/>
          <w:spacing w:val="0"/>
          <w:kern w:val="0"/>
          <w:sz w:val="20"/>
        </w:rPr>
        <w:t xml:space="preserve">, </w:t>
      </w:r>
      <w:r w:rsidR="009F57BD" w:rsidRPr="009F57BD">
        <w:rPr>
          <w:rFonts w:ascii="Arial" w:hAnsi="Arial"/>
          <w:spacing w:val="0"/>
          <w:kern w:val="0"/>
          <w:sz w:val="20"/>
        </w:rPr>
        <w:t xml:space="preserve">ANDRITZ </w:t>
      </w:r>
      <w:r w:rsidR="009718D4">
        <w:rPr>
          <w:rFonts w:ascii="Arial" w:hAnsi="Arial"/>
          <w:spacing w:val="0"/>
          <w:kern w:val="0"/>
          <w:sz w:val="20"/>
        </w:rPr>
        <w:t xml:space="preserve">currently </w:t>
      </w:r>
      <w:r w:rsidR="009F57BD" w:rsidRPr="009F57BD">
        <w:rPr>
          <w:rFonts w:ascii="Arial" w:hAnsi="Arial"/>
          <w:spacing w:val="0"/>
          <w:kern w:val="0"/>
          <w:sz w:val="20"/>
        </w:rPr>
        <w:t>expects an increase in sales and net income for 2015 compared to the previous year.</w:t>
      </w:r>
      <w:r w:rsidR="009F57BD">
        <w:rPr>
          <w:rFonts w:ascii="Arial" w:hAnsi="Arial"/>
          <w:spacing w:val="0"/>
          <w:kern w:val="0"/>
          <w:sz w:val="20"/>
        </w:rPr>
        <w:t xml:space="preserve"> </w:t>
      </w:r>
      <w:r w:rsidR="009F57BD" w:rsidRPr="009F57BD">
        <w:rPr>
          <w:rFonts w:ascii="Arial" w:hAnsi="Arial"/>
          <w:spacing w:val="0"/>
          <w:kern w:val="0"/>
          <w:sz w:val="20"/>
        </w:rPr>
        <w:t xml:space="preserve">However, if the economic weakness looming in the emerging economies (particularly China) </w:t>
      </w:r>
      <w:r w:rsidR="009F57BD">
        <w:rPr>
          <w:rFonts w:ascii="Arial" w:hAnsi="Arial"/>
          <w:spacing w:val="0"/>
          <w:kern w:val="0"/>
          <w:sz w:val="20"/>
        </w:rPr>
        <w:t>worse</w:t>
      </w:r>
      <w:r w:rsidR="009718D4">
        <w:rPr>
          <w:rFonts w:ascii="Arial" w:hAnsi="Arial"/>
          <w:spacing w:val="0"/>
          <w:kern w:val="0"/>
          <w:sz w:val="20"/>
        </w:rPr>
        <w:t>n</w:t>
      </w:r>
      <w:r w:rsidR="003F0E9C">
        <w:rPr>
          <w:rFonts w:ascii="Arial" w:hAnsi="Arial"/>
          <w:spacing w:val="0"/>
          <w:kern w:val="0"/>
          <w:sz w:val="20"/>
        </w:rPr>
        <w:t>s</w:t>
      </w:r>
      <w:r w:rsidR="009F57BD">
        <w:rPr>
          <w:rFonts w:ascii="Arial" w:hAnsi="Arial"/>
          <w:spacing w:val="0"/>
          <w:kern w:val="0"/>
          <w:sz w:val="20"/>
        </w:rPr>
        <w:t xml:space="preserve"> </w:t>
      </w:r>
      <w:r w:rsidR="009F57BD" w:rsidRPr="009F57BD">
        <w:rPr>
          <w:rFonts w:ascii="Arial" w:hAnsi="Arial"/>
          <w:spacing w:val="0"/>
          <w:kern w:val="0"/>
          <w:sz w:val="20"/>
        </w:rPr>
        <w:t xml:space="preserve">in the coming months and the global economy </w:t>
      </w:r>
      <w:r w:rsidR="009718D4">
        <w:rPr>
          <w:rFonts w:ascii="Arial" w:hAnsi="Arial"/>
          <w:spacing w:val="0"/>
          <w:kern w:val="0"/>
          <w:sz w:val="20"/>
        </w:rPr>
        <w:t>further weakens</w:t>
      </w:r>
      <w:r w:rsidR="009F57BD" w:rsidRPr="009F57BD">
        <w:rPr>
          <w:rFonts w:ascii="Arial" w:hAnsi="Arial"/>
          <w:spacing w:val="0"/>
          <w:kern w:val="0"/>
          <w:sz w:val="20"/>
        </w:rPr>
        <w:t>, this could have a negative impact on ANDRITZ’s business development.</w:t>
      </w:r>
    </w:p>
    <w:p w:rsidR="008D1892" w:rsidRPr="00503B99" w:rsidRDefault="008D1892" w:rsidP="008D1892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</w:p>
    <w:p w:rsidR="008D1892" w:rsidRPr="00503B99" w:rsidRDefault="008D1892" w:rsidP="008D1892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</w:rPr>
      </w:pPr>
      <w:r w:rsidRPr="00503B99">
        <w:rPr>
          <w:rFonts w:ascii="Arial" w:hAnsi="Arial"/>
          <w:spacing w:val="0"/>
          <w:kern w:val="0"/>
          <w:sz w:val="20"/>
        </w:rPr>
        <w:t>– End –</w:t>
      </w:r>
    </w:p>
    <w:p w:rsidR="0088165A" w:rsidRPr="00503B99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88165A" w:rsidRPr="00503B99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A50351" w:rsidRPr="00503B99" w:rsidRDefault="00A50351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48422A" w:rsidRDefault="0048422A" w:rsidP="008D1892">
      <w:pPr>
        <w:spacing w:after="0" w:line="240" w:lineRule="exact"/>
        <w:jc w:val="left"/>
        <w:rPr>
          <w:rFonts w:ascii="Arial" w:hAnsi="Arial"/>
          <w:b/>
          <w:spacing w:val="0"/>
          <w:kern w:val="0"/>
          <w:sz w:val="18"/>
        </w:rPr>
      </w:pPr>
    </w:p>
    <w:p w:rsidR="00BE1BBB" w:rsidRDefault="00BE1BBB" w:rsidP="008D1892">
      <w:pPr>
        <w:spacing w:after="0" w:line="240" w:lineRule="exact"/>
        <w:jc w:val="left"/>
        <w:rPr>
          <w:rFonts w:ascii="Arial" w:hAnsi="Arial"/>
          <w:b/>
          <w:spacing w:val="0"/>
          <w:kern w:val="0"/>
          <w:sz w:val="18"/>
        </w:rPr>
      </w:pPr>
    </w:p>
    <w:p w:rsidR="00BE1BBB" w:rsidRDefault="00BE1BBB" w:rsidP="008D1892">
      <w:pPr>
        <w:spacing w:after="0" w:line="240" w:lineRule="exact"/>
        <w:jc w:val="left"/>
        <w:rPr>
          <w:rFonts w:ascii="Arial" w:hAnsi="Arial"/>
          <w:b/>
          <w:spacing w:val="0"/>
          <w:kern w:val="0"/>
          <w:sz w:val="18"/>
        </w:rPr>
      </w:pP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  <w:r w:rsidRPr="00503B99">
        <w:rPr>
          <w:rFonts w:ascii="Arial" w:hAnsi="Arial"/>
          <w:b/>
          <w:spacing w:val="0"/>
          <w:kern w:val="0"/>
          <w:sz w:val="18"/>
        </w:rPr>
        <w:t>Press release for download</w:t>
      </w:r>
    </w:p>
    <w:p w:rsidR="00831601" w:rsidRPr="00831601" w:rsidRDefault="00831601" w:rsidP="008316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right="74"/>
        <w:jc w:val="left"/>
        <w:outlineLvl w:val="0"/>
        <w:rPr>
          <w:rFonts w:ascii="Arial" w:hAnsi="Arial" w:cs="Courier New"/>
          <w:snapToGrid w:val="0"/>
          <w:color w:val="000000"/>
          <w:spacing w:val="0"/>
          <w:kern w:val="0"/>
          <w:sz w:val="18"/>
          <w:szCs w:val="18"/>
        </w:rPr>
      </w:pPr>
      <w:r w:rsidRPr="00831601">
        <w:rPr>
          <w:rFonts w:ascii="Arial" w:hAnsi="Arial" w:cs="Courier New"/>
          <w:snapToGrid w:val="0"/>
          <w:color w:val="000000"/>
          <w:spacing w:val="0"/>
          <w:kern w:val="0"/>
          <w:sz w:val="18"/>
          <w:szCs w:val="18"/>
        </w:rPr>
        <w:t xml:space="preserve">The press release is available for download at </w:t>
      </w:r>
      <w:hyperlink r:id="rId9" w:history="1">
        <w:r w:rsidRPr="00831601">
          <w:rPr>
            <w:rFonts w:ascii="Arial" w:hAnsi="Arial" w:cs="Courier New"/>
            <w:snapToGrid w:val="0"/>
            <w:color w:val="0000FF" w:themeColor="hyperlink"/>
            <w:spacing w:val="0"/>
            <w:kern w:val="0"/>
            <w:sz w:val="18"/>
            <w:szCs w:val="18"/>
            <w:u w:val="single"/>
          </w:rPr>
          <w:t>www.andritz.com/news</w:t>
        </w:r>
      </w:hyperlink>
      <w:r w:rsidRPr="00831601">
        <w:rPr>
          <w:rFonts w:ascii="Arial" w:hAnsi="Arial" w:cs="Courier New"/>
          <w:snapToGrid w:val="0"/>
          <w:color w:val="000000"/>
          <w:spacing w:val="0"/>
          <w:kern w:val="0"/>
          <w:sz w:val="18"/>
          <w:szCs w:val="18"/>
        </w:rPr>
        <w:t>.</w:t>
      </w: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</w:rPr>
      </w:pP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</w:rPr>
      </w:pPr>
      <w:r w:rsidRPr="00503B99">
        <w:rPr>
          <w:rFonts w:ascii="Arial" w:hAnsi="Arial"/>
          <w:b/>
          <w:spacing w:val="0"/>
          <w:kern w:val="0"/>
          <w:sz w:val="18"/>
        </w:rPr>
        <w:t>For further information, please contact:</w:t>
      </w: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</w:rPr>
      </w:pPr>
      <w:r w:rsidRPr="00503B99">
        <w:rPr>
          <w:rFonts w:ascii="Arial" w:hAnsi="Arial"/>
          <w:spacing w:val="0"/>
          <w:kern w:val="0"/>
          <w:sz w:val="18"/>
        </w:rPr>
        <w:t>Oliver Pokorny</w:t>
      </w: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</w:rPr>
      </w:pPr>
      <w:r w:rsidRPr="00503B99">
        <w:rPr>
          <w:rFonts w:ascii="Arial" w:hAnsi="Arial"/>
          <w:spacing w:val="0"/>
          <w:kern w:val="0"/>
          <w:sz w:val="18"/>
        </w:rPr>
        <w:t>Head of Corporate Communications</w:t>
      </w: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</w:rPr>
      </w:pPr>
      <w:r w:rsidRPr="00503B99">
        <w:rPr>
          <w:rFonts w:ascii="Arial" w:hAnsi="Arial"/>
          <w:spacing w:val="0"/>
          <w:kern w:val="0"/>
          <w:sz w:val="18"/>
        </w:rPr>
        <w:t>Phone: +43 (316) 6902 1332</w:t>
      </w: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</w:rPr>
      </w:pPr>
      <w:r w:rsidRPr="00503B99">
        <w:rPr>
          <w:rFonts w:ascii="Arial" w:hAnsi="Arial"/>
          <w:spacing w:val="0"/>
          <w:kern w:val="0"/>
          <w:sz w:val="18"/>
        </w:rPr>
        <w:t>oliver.pokorny@andritz.com</w:t>
      </w: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</w:rPr>
      </w:pPr>
      <w:r w:rsidRPr="00503B99">
        <w:rPr>
          <w:rFonts w:ascii="Arial" w:hAnsi="Arial"/>
          <w:spacing w:val="0"/>
          <w:kern w:val="0"/>
          <w:sz w:val="18"/>
        </w:rPr>
        <w:t>www.andritz.com</w:t>
      </w: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</w:rPr>
      </w:pP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</w:rPr>
      </w:pPr>
      <w:r w:rsidRPr="00503B99">
        <w:rPr>
          <w:rFonts w:ascii="Arial" w:hAnsi="Arial"/>
          <w:b/>
          <w:spacing w:val="0"/>
          <w:kern w:val="0"/>
          <w:sz w:val="18"/>
        </w:rPr>
        <w:t>The ANDRITZ GROUP</w:t>
      </w:r>
    </w:p>
    <w:p w:rsidR="008D1892" w:rsidRDefault="00831601" w:rsidP="008D189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</w:rPr>
      </w:pPr>
      <w:r w:rsidRPr="00831601">
        <w:rPr>
          <w:rFonts w:ascii="Arial" w:eastAsia="Times New Roman" w:hAnsi="Arial" w:cs="Arial"/>
          <w:bCs/>
          <w:spacing w:val="0"/>
          <w:kern w:val="0"/>
          <w:sz w:val="18"/>
          <w:szCs w:val="18"/>
        </w:rPr>
        <w:t>ANDRITZ is a globally leading supplier of plants, equipment, and services for hydropower stations, the pulp and paper industry, the metalworking and steel industries, and for solid/liquid separation in the municipal and industrial sectors. The publicly listed technology Group is headquartered in Graz, Austria, and has a staff of almost 25,000 employees. ANDRITZ operates over 250 sites worldwide.</w:t>
      </w:r>
    </w:p>
    <w:p w:rsidR="00831601" w:rsidRPr="00503B99" w:rsidRDefault="00831601" w:rsidP="008D189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</w:rPr>
      </w:pP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</w:rPr>
      </w:pPr>
      <w:r w:rsidRPr="00503B99">
        <w:rPr>
          <w:rFonts w:ascii="Arial" w:hAnsi="Arial"/>
          <w:b/>
          <w:spacing w:val="0"/>
          <w:kern w:val="0"/>
          <w:sz w:val="18"/>
        </w:rPr>
        <w:t>Annual and financial reports</w:t>
      </w: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</w:rPr>
      </w:pPr>
      <w:r w:rsidRPr="00503B99">
        <w:rPr>
          <w:rFonts w:ascii="Arial" w:hAnsi="Arial"/>
          <w:spacing w:val="0"/>
          <w:kern w:val="0"/>
          <w:sz w:val="18"/>
        </w:rPr>
        <w:t xml:space="preserve">The Annual and Financial Reports of the ANDRITZ GROUP are available as PDF for download at www.andritz.com. Printed copies </w:t>
      </w:r>
      <w:r w:rsidR="0076219F" w:rsidRPr="00503B99">
        <w:rPr>
          <w:rFonts w:ascii="Arial" w:hAnsi="Arial"/>
          <w:spacing w:val="0"/>
          <w:kern w:val="0"/>
          <w:sz w:val="18"/>
        </w:rPr>
        <w:t>may</w:t>
      </w:r>
      <w:r w:rsidRPr="00503B99">
        <w:rPr>
          <w:rFonts w:ascii="Arial" w:hAnsi="Arial"/>
          <w:spacing w:val="0"/>
          <w:kern w:val="0"/>
          <w:sz w:val="18"/>
        </w:rPr>
        <w:t xml:space="preserve"> be requested free of charge from </w:t>
      </w:r>
      <w:hyperlink r:id="rId10">
        <w:r w:rsidRPr="00503B99">
          <w:rPr>
            <w:rFonts w:ascii="Arial" w:hAnsi="Arial"/>
            <w:spacing w:val="0"/>
            <w:kern w:val="0"/>
            <w:sz w:val="18"/>
          </w:rPr>
          <w:t>investors@andritz.com</w:t>
        </w:r>
      </w:hyperlink>
      <w:r w:rsidRPr="00503B99">
        <w:rPr>
          <w:rFonts w:ascii="Arial" w:hAnsi="Arial"/>
          <w:spacing w:val="0"/>
          <w:kern w:val="0"/>
          <w:sz w:val="18"/>
        </w:rPr>
        <w:t>.</w:t>
      </w: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</w:rPr>
      </w:pP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</w:rPr>
      </w:pPr>
      <w:r w:rsidRPr="00503B99">
        <w:rPr>
          <w:rFonts w:ascii="Arial" w:hAnsi="Arial"/>
          <w:b/>
          <w:spacing w:val="0"/>
          <w:kern w:val="0"/>
          <w:sz w:val="18"/>
        </w:rPr>
        <w:t>Disclaimer</w:t>
      </w:r>
    </w:p>
    <w:p w:rsidR="008D1892" w:rsidRPr="00503B99" w:rsidRDefault="008D1892" w:rsidP="008D189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</w:rPr>
      </w:pPr>
      <w:r w:rsidRPr="00503B99">
        <w:rPr>
          <w:rFonts w:ascii="Arial" w:hAnsi="Arial"/>
          <w:spacing w:val="0"/>
          <w:kern w:val="0"/>
          <w:sz w:val="18"/>
        </w:rPr>
        <w:t>Certain statements contained in this press release constitute "forward-looking statements”. These statements, which contain the words “believe”, “intend”, “expect”, and words of a similar meaning, reflect the Executive Board’s beliefs and expectations and are subject to risks and uncertainties that may cause actual results to differ materially. As a result, readers are cautioned not to place undue reliance on such forward-looking statements. The company disclaims any obligation to publicly announce the result of any revisions to the forward-looking statements made herein, except where it would be required to do so under applicable law.</w:t>
      </w:r>
    </w:p>
    <w:p w:rsidR="008D1892" w:rsidRPr="00503B99" w:rsidRDefault="008D1892" w:rsidP="008D1892">
      <w:pPr>
        <w:pStyle w:val="TNote"/>
        <w:jc w:val="left"/>
        <w:rPr>
          <w:rFonts w:ascii="Arial" w:hAnsi="Arial" w:cs="Arial"/>
          <w:b/>
          <w:color w:val="auto"/>
          <w:sz w:val="20"/>
        </w:rPr>
      </w:pPr>
    </w:p>
    <w:p w:rsidR="00970991" w:rsidRPr="00503B99" w:rsidRDefault="00970991" w:rsidP="008436F0">
      <w:pPr>
        <w:pStyle w:val="TNote"/>
        <w:jc w:val="left"/>
        <w:rPr>
          <w:rFonts w:ascii="Arial" w:hAnsi="Arial" w:cs="Arial"/>
          <w:b/>
          <w:color w:val="auto"/>
          <w:sz w:val="20"/>
        </w:rPr>
      </w:pPr>
    </w:p>
    <w:p w:rsidR="00970991" w:rsidRPr="00503B99" w:rsidRDefault="00970991" w:rsidP="008436F0">
      <w:pPr>
        <w:pStyle w:val="TNote"/>
        <w:jc w:val="left"/>
        <w:rPr>
          <w:rFonts w:ascii="Arial" w:hAnsi="Arial" w:cs="Arial"/>
          <w:b/>
          <w:color w:val="auto"/>
          <w:sz w:val="20"/>
        </w:rPr>
      </w:pPr>
    </w:p>
    <w:p w:rsidR="00D74D00" w:rsidRPr="00503B99" w:rsidRDefault="00D74D00">
      <w:pPr>
        <w:spacing w:line="276" w:lineRule="auto"/>
        <w:jc w:val="left"/>
        <w:rPr>
          <w:rFonts w:ascii="Arial" w:hAnsi="Arial" w:cs="Arial"/>
          <w:b/>
          <w:spacing w:val="0"/>
          <w:kern w:val="0"/>
          <w:sz w:val="20"/>
        </w:rPr>
      </w:pPr>
      <w:r w:rsidRPr="00503B99">
        <w:br w:type="page"/>
      </w:r>
    </w:p>
    <w:p w:rsidR="00D74D00" w:rsidRPr="00503B99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503B99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503B99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503B99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503B99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2D4F47" w:rsidRPr="00503B99" w:rsidRDefault="002D4F47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9B183A" w:rsidRPr="00503B99" w:rsidRDefault="00097B14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  <w:r w:rsidRPr="00503B99">
        <w:rPr>
          <w:rFonts w:ascii="Arial" w:hAnsi="Arial"/>
          <w:b/>
          <w:color w:val="auto"/>
          <w:spacing w:val="0"/>
          <w:kern w:val="0"/>
          <w:sz w:val="20"/>
        </w:rPr>
        <w:t>Key financial figures of the ANDRITZ GROUP at a glance</w:t>
      </w:r>
    </w:p>
    <w:p w:rsidR="001A275E" w:rsidRDefault="001A275E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tbl>
      <w:tblPr>
        <w:tblW w:w="96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1"/>
        <w:gridCol w:w="867"/>
        <w:gridCol w:w="952"/>
        <w:gridCol w:w="952"/>
        <w:gridCol w:w="907"/>
        <w:gridCol w:w="986"/>
        <w:gridCol w:w="986"/>
        <w:gridCol w:w="1247"/>
        <w:gridCol w:w="907"/>
      </w:tblGrid>
      <w:tr w:rsidR="001272A4" w:rsidRPr="00324848" w:rsidTr="001A275E">
        <w:trPr>
          <w:trHeight w:val="505"/>
        </w:trPr>
        <w:tc>
          <w:tcPr>
            <w:tcW w:w="1831" w:type="dxa"/>
            <w:tcBorders>
              <w:bottom w:val="single" w:sz="4" w:space="0" w:color="006EB4"/>
              <w:right w:val="single" w:sz="24" w:space="0" w:color="FFFFFF"/>
            </w:tcBorders>
            <w:shd w:val="clear" w:color="auto" w:fill="auto"/>
            <w:vAlign w:val="bottom"/>
          </w:tcPr>
          <w:p w:rsidR="001272A4" w:rsidRPr="00324848" w:rsidRDefault="00324848" w:rsidP="001A275E">
            <w:pPr>
              <w:pStyle w:val="THeadfirstBlue"/>
              <w:rPr>
                <w:rFonts w:ascii="Arial" w:hAnsi="Arial" w:cs="Arial"/>
                <w:szCs w:val="18"/>
              </w:rPr>
            </w:pPr>
            <w:bookmarkStart w:id="8" w:name="_FLink_1T_fdll_1"/>
            <w:r w:rsidRPr="00324848">
              <w:rPr>
                <w:rFonts w:ascii="Arial" w:hAnsi="Arial" w:cs="Arial"/>
                <w:szCs w:val="18"/>
              </w:rPr>
              <w:t> </w:t>
            </w:r>
          </w:p>
        </w:tc>
        <w:tc>
          <w:tcPr>
            <w:tcW w:w="867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Headfirst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Unit</w:t>
            </w:r>
          </w:p>
        </w:tc>
        <w:tc>
          <w:tcPr>
            <w:tcW w:w="952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Headfirst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Q1-Q3 2015</w:t>
            </w:r>
          </w:p>
        </w:tc>
        <w:tc>
          <w:tcPr>
            <w:tcW w:w="952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Headfirst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Q1-Q3 2014</w:t>
            </w:r>
          </w:p>
        </w:tc>
        <w:tc>
          <w:tcPr>
            <w:tcW w:w="907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Headfirst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+/-</w:t>
            </w:r>
          </w:p>
        </w:tc>
        <w:tc>
          <w:tcPr>
            <w:tcW w:w="986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Headfirst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Q3 2015</w:t>
            </w:r>
          </w:p>
        </w:tc>
        <w:tc>
          <w:tcPr>
            <w:tcW w:w="986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Headfirst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Q3 2014</w:t>
            </w:r>
          </w:p>
        </w:tc>
        <w:tc>
          <w:tcPr>
            <w:tcW w:w="1247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Headfirst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+/-</w:t>
            </w:r>
          </w:p>
        </w:tc>
        <w:tc>
          <w:tcPr>
            <w:tcW w:w="907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Headfirst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2014</w:t>
            </w:r>
          </w:p>
        </w:tc>
      </w:tr>
      <w:tr w:rsidR="001272A4" w:rsidRPr="00324848" w:rsidTr="001A275E">
        <w:trPr>
          <w:trHeight w:val="329"/>
        </w:trPr>
        <w:tc>
          <w:tcPr>
            <w:tcW w:w="1831" w:type="dxa"/>
            <w:tcBorders>
              <w:top w:val="single" w:sz="4" w:space="0" w:color="006EB4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b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sz w:val="18"/>
                <w:szCs w:val="18"/>
              </w:rPr>
              <w:t>Sales</w:t>
            </w:r>
          </w:p>
        </w:tc>
        <w:tc>
          <w:tcPr>
            <w:tcW w:w="867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b/>
                <w:i/>
                <w:szCs w:val="14"/>
              </w:rPr>
            </w:pPr>
            <w:r w:rsidRPr="00324848">
              <w:rPr>
                <w:rFonts w:ascii="Arial" w:hAnsi="Arial" w:cs="Arial"/>
                <w:b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color w:val="006EB4"/>
                <w:sz w:val="18"/>
                <w:szCs w:val="18"/>
              </w:rPr>
              <w:t>4,589.1</w:t>
            </w:r>
          </w:p>
        </w:tc>
        <w:tc>
          <w:tcPr>
            <w:tcW w:w="95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sz w:val="18"/>
                <w:szCs w:val="18"/>
              </w:rPr>
              <w:t>4,122.9</w:t>
            </w:r>
          </w:p>
        </w:tc>
        <w:tc>
          <w:tcPr>
            <w:tcW w:w="907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sz w:val="18"/>
                <w:szCs w:val="18"/>
              </w:rPr>
              <w:t>+11.3%</w:t>
            </w:r>
          </w:p>
        </w:tc>
        <w:tc>
          <w:tcPr>
            <w:tcW w:w="986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color w:val="006EB4"/>
                <w:sz w:val="18"/>
                <w:szCs w:val="18"/>
              </w:rPr>
              <w:t>1,583.5</w:t>
            </w:r>
          </w:p>
        </w:tc>
        <w:tc>
          <w:tcPr>
            <w:tcW w:w="986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sz w:val="18"/>
                <w:szCs w:val="18"/>
              </w:rPr>
              <w:t>1,463.5</w:t>
            </w:r>
          </w:p>
        </w:tc>
        <w:tc>
          <w:tcPr>
            <w:tcW w:w="1247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sz w:val="18"/>
                <w:szCs w:val="18"/>
              </w:rPr>
              <w:t>+8.2%</w:t>
            </w:r>
          </w:p>
        </w:tc>
        <w:tc>
          <w:tcPr>
            <w:tcW w:w="907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sz w:val="18"/>
                <w:szCs w:val="18"/>
              </w:rPr>
              <w:t>5,859.3</w:t>
            </w:r>
          </w:p>
        </w:tc>
      </w:tr>
      <w:tr w:rsidR="001272A4" w:rsidRPr="00324848" w:rsidTr="001A275E">
        <w:trPr>
          <w:trHeight w:val="329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 xml:space="preserve">    HYDRO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1,309.6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1,232.2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+6.3%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443.3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426.8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+3.9%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1,752.3</w:t>
            </w:r>
          </w:p>
        </w:tc>
      </w:tr>
      <w:tr w:rsidR="001272A4" w:rsidRPr="00324848" w:rsidTr="001A275E">
        <w:trPr>
          <w:trHeight w:val="329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 xml:space="preserve">    PULP &amp; PAPER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1,586.4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1,369.9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+15.8%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542.5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500.6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+8.4%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1,969.3</w:t>
            </w:r>
          </w:p>
        </w:tc>
      </w:tr>
      <w:tr w:rsidR="001272A4" w:rsidRPr="00324848" w:rsidTr="001A275E">
        <w:trPr>
          <w:trHeight w:val="329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 xml:space="preserve">    METALS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1,239.8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1,111.8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+11.5%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443.7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389.5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+13.9%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1,550.4</w:t>
            </w:r>
          </w:p>
        </w:tc>
      </w:tr>
      <w:tr w:rsidR="001272A4" w:rsidRPr="00324848" w:rsidTr="001A275E">
        <w:trPr>
          <w:trHeight w:val="329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 xml:space="preserve">    SEPARATION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453.3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409.0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+10.8%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154.0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146.6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+5.0%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587.3</w:t>
            </w:r>
          </w:p>
        </w:tc>
      </w:tr>
      <w:tr w:rsidR="001272A4" w:rsidRPr="00324848" w:rsidTr="001A275E">
        <w:trPr>
          <w:trHeight w:val="329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b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sz w:val="18"/>
                <w:szCs w:val="18"/>
              </w:rPr>
              <w:t>Order intake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b/>
                <w:i/>
                <w:szCs w:val="14"/>
              </w:rPr>
            </w:pPr>
            <w:r w:rsidRPr="00324848">
              <w:rPr>
                <w:rFonts w:ascii="Arial" w:hAnsi="Arial" w:cs="Arial"/>
                <w:b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color w:val="006EB4"/>
                <w:sz w:val="18"/>
                <w:szCs w:val="18"/>
              </w:rPr>
              <w:t>3,767.6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sz w:val="18"/>
                <w:szCs w:val="18"/>
              </w:rPr>
              <w:t>4,571.6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sz w:val="18"/>
                <w:szCs w:val="18"/>
              </w:rPr>
              <w:noBreakHyphen/>
              <w:t>17.6%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color w:val="006EB4"/>
                <w:sz w:val="18"/>
                <w:szCs w:val="18"/>
              </w:rPr>
              <w:t>1,187.6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sz w:val="18"/>
                <w:szCs w:val="18"/>
              </w:rPr>
              <w:t>1,591.5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sz w:val="18"/>
                <w:szCs w:val="18"/>
              </w:rPr>
              <w:noBreakHyphen/>
              <w:t>25.4%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324848">
              <w:rPr>
                <w:rFonts w:ascii="Arial" w:hAnsi="Arial" w:cs="Arial"/>
                <w:b/>
                <w:sz w:val="18"/>
                <w:szCs w:val="18"/>
              </w:rPr>
              <w:t>6,101.0</w:t>
            </w:r>
          </w:p>
        </w:tc>
      </w:tr>
      <w:tr w:rsidR="001272A4" w:rsidRPr="00324848" w:rsidTr="001A275E">
        <w:trPr>
          <w:trHeight w:val="329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 xml:space="preserve">    HYDRO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1,122.0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1,166.0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noBreakHyphen/>
              <w:t>3.8%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327.3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351.4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noBreakHyphen/>
              <w:t>6.9%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1,816.7</w:t>
            </w:r>
          </w:p>
        </w:tc>
      </w:tr>
      <w:tr w:rsidR="001272A4" w:rsidRPr="00324848" w:rsidTr="001A275E">
        <w:trPr>
          <w:trHeight w:val="329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 xml:space="preserve">    PULP &amp; PAPER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1,255.7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1,629.6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noBreakHyphen/>
              <w:t>22.9%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346.8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572.4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noBreakHyphen/>
              <w:t>39.4%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1,995.7</w:t>
            </w:r>
          </w:p>
        </w:tc>
      </w:tr>
      <w:tr w:rsidR="001272A4" w:rsidRPr="00324848" w:rsidTr="001A275E">
        <w:trPr>
          <w:trHeight w:val="329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 xml:space="preserve">    METALS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953.8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1,328.1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noBreakHyphen/>
              <w:t>28.2%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358.4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530.2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noBreakHyphen/>
              <w:t>32.4%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1,692.8</w:t>
            </w:r>
          </w:p>
        </w:tc>
      </w:tr>
      <w:tr w:rsidR="001272A4" w:rsidRPr="00324848" w:rsidTr="001A275E">
        <w:trPr>
          <w:trHeight w:val="329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 xml:space="preserve">    SEPARATION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436.1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447.9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noBreakHyphen/>
              <w:t>2.6%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155.1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137.5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+12.8%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595.8</w:t>
            </w:r>
          </w:p>
        </w:tc>
      </w:tr>
      <w:tr w:rsidR="001272A4" w:rsidRPr="00324848" w:rsidTr="001A275E">
        <w:trPr>
          <w:trHeight w:val="505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line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 xml:space="preserve">Order backlog </w:t>
            </w:r>
            <w:r w:rsidRPr="00324848">
              <w:rPr>
                <w:rFonts w:ascii="Arial" w:hAnsi="Arial" w:cs="Arial"/>
                <w:szCs w:val="18"/>
              </w:rPr>
              <w:t>(as of end of period)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line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6,891.8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7,702.2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noBreakHyphen/>
              <w:t>10.5%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6,891.8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7,702.2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noBreakHyphen/>
              <w:t>10.5%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7</w:t>
            </w:r>
            <w:r w:rsidR="003F0E9C">
              <w:rPr>
                <w:rFonts w:ascii="Arial" w:hAnsi="Arial" w:cs="Arial"/>
                <w:sz w:val="18"/>
                <w:szCs w:val="18"/>
              </w:rPr>
              <w:t>,</w:t>
            </w:r>
            <w:r w:rsidRPr="00324848">
              <w:rPr>
                <w:rFonts w:ascii="Arial" w:hAnsi="Arial" w:cs="Arial"/>
                <w:sz w:val="18"/>
                <w:szCs w:val="18"/>
              </w:rPr>
              <w:t>510.6</w:t>
            </w:r>
          </w:p>
        </w:tc>
      </w:tr>
      <w:tr w:rsidR="001272A4" w:rsidRPr="00324848" w:rsidTr="001A275E">
        <w:trPr>
          <w:trHeight w:val="334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EBITDA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364.1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298.9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+21.8%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133.2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123.2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+8.1%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472</w:t>
            </w:r>
            <w:r w:rsidR="00E715FB">
              <w:rPr>
                <w:rFonts w:ascii="Arial" w:hAnsi="Arial" w:cs="Arial"/>
                <w:sz w:val="18"/>
                <w:szCs w:val="18"/>
              </w:rPr>
              <w:t>.0</w:t>
            </w:r>
          </w:p>
        </w:tc>
      </w:tr>
      <w:tr w:rsidR="001272A4" w:rsidRPr="00324848" w:rsidTr="001A275E">
        <w:trPr>
          <w:trHeight w:val="334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EBITDA margin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%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7.9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8.4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</w:tr>
      <w:tr w:rsidR="001272A4" w:rsidRPr="00324848" w:rsidTr="001A275E">
        <w:trPr>
          <w:trHeight w:val="334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EBITA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295.0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234.4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+25.9%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110.1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101.0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+9.0%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379.5</w:t>
            </w:r>
          </w:p>
        </w:tc>
      </w:tr>
      <w:tr w:rsidR="001272A4" w:rsidRPr="00324848" w:rsidTr="001A275E">
        <w:trPr>
          <w:trHeight w:val="334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EBITA margin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%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6.4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7.0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</w:tr>
      <w:tr w:rsidR="001272A4" w:rsidRPr="00324848" w:rsidTr="00681962">
        <w:trPr>
          <w:trHeight w:val="692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Earnings Before Interest and Taxes (EBIT)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259.1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176.0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+47.2%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99.5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81.6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+21.9%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295.7</w:t>
            </w:r>
          </w:p>
        </w:tc>
      </w:tr>
      <w:tr w:rsidR="001272A4" w:rsidRPr="00324848" w:rsidTr="001A275E">
        <w:trPr>
          <w:trHeight w:val="334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Financial result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4.0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noBreakHyphen/>
              <w:t>1.7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+335.3%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noBreakHyphen/>
              <w:t>2.8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96D7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n. a.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</w:tr>
      <w:tr w:rsidR="001272A4" w:rsidRPr="00324848" w:rsidTr="00681962">
        <w:trPr>
          <w:trHeight w:val="510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Earnings Before Taxes (EBT)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263.1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174.3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+50.9%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96.7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81.6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+18.5%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299.4</w:t>
            </w:r>
          </w:p>
        </w:tc>
      </w:tr>
      <w:tr w:rsidR="001272A4" w:rsidRPr="00324848" w:rsidTr="002F51F5">
        <w:trPr>
          <w:trHeight w:val="505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line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 xml:space="preserve">Net income </w:t>
            </w:r>
            <w:r w:rsidRPr="00324848">
              <w:rPr>
                <w:rFonts w:ascii="Arial" w:hAnsi="Arial" w:cs="Arial"/>
                <w:szCs w:val="18"/>
              </w:rPr>
              <w:t>(without non-controlling interests)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line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181.3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123.6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+46.7%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67.4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56.9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+18.5%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210.9</w:t>
            </w:r>
          </w:p>
        </w:tc>
      </w:tr>
      <w:tr w:rsidR="0048301B" w:rsidRPr="00324848" w:rsidTr="001A275E">
        <w:trPr>
          <w:trHeight w:val="510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301B" w:rsidRPr="00324848" w:rsidRDefault="0048301B" w:rsidP="001A275E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Cash flow from operating activities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301B" w:rsidRPr="00324848" w:rsidRDefault="0048301B" w:rsidP="001272A4">
            <w:pPr>
              <w:pStyle w:val="TBodynormal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301B" w:rsidRPr="00B632BD" w:rsidRDefault="0048301B" w:rsidP="0048301B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>
              <w:rPr>
                <w:rFonts w:ascii="Arial" w:hAnsi="Arial" w:cs="Arial"/>
                <w:color w:val="006EB4"/>
                <w:sz w:val="18"/>
                <w:szCs w:val="18"/>
              </w:rPr>
              <w:t>132.8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301B" w:rsidRPr="00B632BD" w:rsidRDefault="0048301B" w:rsidP="0048301B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B632BD">
              <w:rPr>
                <w:rFonts w:ascii="Arial" w:hAnsi="Arial" w:cs="Arial"/>
                <w:sz w:val="18"/>
                <w:szCs w:val="18"/>
              </w:rPr>
              <w:t>225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B632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301B" w:rsidRPr="00B632BD" w:rsidRDefault="0048301B" w:rsidP="0048301B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B632BD">
              <w:rPr>
                <w:rFonts w:ascii="Arial" w:hAnsi="Arial" w:cs="Arial"/>
                <w:sz w:val="18"/>
                <w:szCs w:val="18"/>
              </w:rPr>
              <w:noBreakHyphen/>
              <w:t>4</w:t>
            </w: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Pr="00B632B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301B" w:rsidRPr="00B632BD" w:rsidRDefault="0048301B" w:rsidP="0048301B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>
              <w:rPr>
                <w:rFonts w:ascii="Arial" w:hAnsi="Arial" w:cs="Arial"/>
                <w:color w:val="006EB4"/>
                <w:sz w:val="18"/>
                <w:szCs w:val="18"/>
              </w:rPr>
              <w:t>140.6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301B" w:rsidRPr="00B632BD" w:rsidRDefault="0048301B" w:rsidP="0048301B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B632BD">
              <w:rPr>
                <w:rFonts w:ascii="Arial" w:hAnsi="Arial" w:cs="Arial"/>
                <w:sz w:val="18"/>
                <w:szCs w:val="18"/>
              </w:rPr>
              <w:t>176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B632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301B" w:rsidRPr="00B632BD" w:rsidRDefault="0048301B" w:rsidP="0048301B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B632BD">
              <w:rPr>
                <w:rFonts w:ascii="Arial" w:hAnsi="Arial" w:cs="Arial"/>
                <w:sz w:val="18"/>
                <w:szCs w:val="18"/>
              </w:rPr>
              <w:noBreakHyphen/>
              <w:t>2</w:t>
            </w:r>
            <w:r>
              <w:rPr>
                <w:rFonts w:ascii="Arial" w:hAnsi="Arial" w:cs="Arial"/>
                <w:sz w:val="18"/>
                <w:szCs w:val="18"/>
              </w:rPr>
              <w:t>0.4</w:t>
            </w:r>
            <w:r w:rsidRPr="00B632B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301B" w:rsidRPr="00B632BD" w:rsidRDefault="0048301B" w:rsidP="00C73014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B632BD">
              <w:rPr>
                <w:rFonts w:ascii="Arial" w:hAnsi="Arial" w:cs="Arial"/>
                <w:sz w:val="18"/>
                <w:szCs w:val="18"/>
              </w:rPr>
              <w:t>3</w:t>
            </w:r>
            <w:r w:rsidR="00C73014">
              <w:rPr>
                <w:rFonts w:ascii="Arial" w:hAnsi="Arial" w:cs="Arial"/>
                <w:sz w:val="18"/>
                <w:szCs w:val="18"/>
              </w:rPr>
              <w:t>42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C7301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272A4" w:rsidRPr="00324848" w:rsidTr="001A275E">
        <w:trPr>
          <w:trHeight w:val="329"/>
        </w:trPr>
        <w:tc>
          <w:tcPr>
            <w:tcW w:w="183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A275E">
            <w:pPr>
              <w:pStyle w:val="TBodyline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Capital expenditure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line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MEUR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59.7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61.9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noBreakHyphen/>
              <w:t>3.6%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23.4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noBreakHyphen/>
              <w:t>14.6%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106.5</w:t>
            </w:r>
          </w:p>
        </w:tc>
      </w:tr>
      <w:tr w:rsidR="001272A4" w:rsidRPr="00324848" w:rsidTr="001A275E">
        <w:trPr>
          <w:trHeight w:val="692"/>
        </w:trPr>
        <w:tc>
          <w:tcPr>
            <w:tcW w:w="1831" w:type="dxa"/>
            <w:tcBorders>
              <w:top w:val="single" w:sz="2" w:space="0" w:color="68676C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2F51F5" w:rsidRDefault="00324848" w:rsidP="001A275E">
            <w:pPr>
              <w:pStyle w:val="TBodylineText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 xml:space="preserve">Employees </w:t>
            </w:r>
          </w:p>
          <w:p w:rsidR="001272A4" w:rsidRPr="00324848" w:rsidRDefault="00324848" w:rsidP="001A275E">
            <w:pPr>
              <w:pStyle w:val="TBodylineText"/>
              <w:rPr>
                <w:rFonts w:ascii="Arial" w:hAnsi="Arial" w:cs="Arial"/>
                <w:sz w:val="18"/>
                <w:szCs w:val="18"/>
              </w:rPr>
            </w:pPr>
            <w:r w:rsidRPr="002F51F5">
              <w:rPr>
                <w:rFonts w:ascii="Arial" w:hAnsi="Arial" w:cs="Arial"/>
                <w:szCs w:val="18"/>
              </w:rPr>
              <w:t>(as of end of period; without apprentices)</w:t>
            </w:r>
          </w:p>
        </w:tc>
        <w:tc>
          <w:tcPr>
            <w:tcW w:w="867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1272A4">
            <w:pPr>
              <w:pStyle w:val="TBodylineNumber"/>
              <w:rPr>
                <w:rFonts w:ascii="Arial" w:hAnsi="Arial" w:cs="Arial"/>
                <w:i/>
                <w:szCs w:val="14"/>
              </w:rPr>
            </w:pPr>
            <w:r w:rsidRPr="00324848">
              <w:rPr>
                <w:rFonts w:ascii="Arial" w:hAnsi="Arial" w:cs="Arial"/>
                <w:i/>
                <w:szCs w:val="14"/>
              </w:rPr>
              <w:t>-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24,769</w:t>
            </w:r>
          </w:p>
        </w:tc>
        <w:tc>
          <w:tcPr>
            <w:tcW w:w="95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24,468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+1.2%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324848">
              <w:rPr>
                <w:rFonts w:ascii="Arial" w:hAnsi="Arial" w:cs="Arial"/>
                <w:color w:val="006EB4"/>
                <w:sz w:val="18"/>
                <w:szCs w:val="18"/>
              </w:rPr>
              <w:t>24,769</w:t>
            </w:r>
          </w:p>
        </w:tc>
        <w:tc>
          <w:tcPr>
            <w:tcW w:w="986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24,468</w:t>
            </w:r>
          </w:p>
        </w:tc>
        <w:tc>
          <w:tcPr>
            <w:tcW w:w="1247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+1.2%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1272A4" w:rsidRPr="00324848" w:rsidRDefault="00324848" w:rsidP="00324848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324848">
              <w:rPr>
                <w:rFonts w:ascii="Arial" w:hAnsi="Arial" w:cs="Arial"/>
                <w:sz w:val="18"/>
                <w:szCs w:val="18"/>
              </w:rPr>
              <w:t>24,853</w:t>
            </w:r>
          </w:p>
        </w:tc>
      </w:tr>
      <w:tr w:rsidR="001272A4" w:rsidRPr="00324848" w:rsidTr="001A275E">
        <w:tc>
          <w:tcPr>
            <w:tcW w:w="1831" w:type="dxa"/>
            <w:tcBorders>
              <w:top w:val="single" w:sz="4" w:space="0" w:color="006EB4"/>
            </w:tcBorders>
            <w:shd w:val="clear" w:color="auto" w:fill="FFFFFF"/>
            <w:vAlign w:val="bottom"/>
          </w:tcPr>
          <w:p w:rsidR="001272A4" w:rsidRPr="00324848" w:rsidRDefault="001272A4" w:rsidP="001A275E">
            <w:pPr>
              <w:pStyle w:val="TDummyRow"/>
              <w:jc w:val="left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4" w:space="0" w:color="006EB4"/>
              <w:left w:val="nil"/>
            </w:tcBorders>
            <w:shd w:val="clear" w:color="auto" w:fill="FFFFFF"/>
          </w:tcPr>
          <w:p w:rsidR="001272A4" w:rsidRPr="00324848" w:rsidRDefault="001272A4" w:rsidP="001272A4">
            <w:pPr>
              <w:pStyle w:val="TDummyRow"/>
              <w:jc w:val="left"/>
              <w:rPr>
                <w:rFonts w:ascii="Arial" w:hAnsi="Arial" w:cs="Arial"/>
                <w:i/>
                <w:szCs w:val="14"/>
              </w:rPr>
            </w:pPr>
          </w:p>
        </w:tc>
        <w:tc>
          <w:tcPr>
            <w:tcW w:w="952" w:type="dxa"/>
            <w:tcBorders>
              <w:top w:val="single" w:sz="4" w:space="0" w:color="006EB4"/>
            </w:tcBorders>
            <w:shd w:val="clear" w:color="auto" w:fill="FFFFFF"/>
          </w:tcPr>
          <w:p w:rsidR="001272A4" w:rsidRPr="00324848" w:rsidRDefault="001272A4" w:rsidP="001272A4">
            <w:pPr>
              <w:pStyle w:val="TDummyRow"/>
              <w:jc w:val="left"/>
              <w:rPr>
                <w:rFonts w:ascii="Arial" w:hAnsi="Arial" w:cs="Arial"/>
              </w:rPr>
            </w:pPr>
          </w:p>
        </w:tc>
        <w:tc>
          <w:tcPr>
            <w:tcW w:w="952" w:type="dxa"/>
            <w:tcBorders>
              <w:top w:val="single" w:sz="4" w:space="0" w:color="006EB4"/>
            </w:tcBorders>
            <w:shd w:val="clear" w:color="auto" w:fill="FFFFFF"/>
          </w:tcPr>
          <w:p w:rsidR="001272A4" w:rsidRPr="00324848" w:rsidRDefault="001272A4" w:rsidP="001272A4">
            <w:pPr>
              <w:pStyle w:val="TDummyRow"/>
              <w:jc w:val="left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6EB4"/>
            </w:tcBorders>
            <w:shd w:val="clear" w:color="auto" w:fill="FFFFFF"/>
          </w:tcPr>
          <w:p w:rsidR="001272A4" w:rsidRPr="00324848" w:rsidRDefault="001272A4" w:rsidP="001272A4">
            <w:pPr>
              <w:pStyle w:val="TDummyRow"/>
              <w:jc w:val="left"/>
              <w:rPr>
                <w:rFonts w:ascii="Arial" w:hAnsi="Arial" w:cs="Arial"/>
              </w:rPr>
            </w:pPr>
          </w:p>
        </w:tc>
        <w:tc>
          <w:tcPr>
            <w:tcW w:w="986" w:type="dxa"/>
            <w:tcBorders>
              <w:top w:val="single" w:sz="4" w:space="0" w:color="006EB4"/>
            </w:tcBorders>
            <w:shd w:val="clear" w:color="auto" w:fill="FFFFFF"/>
          </w:tcPr>
          <w:p w:rsidR="001272A4" w:rsidRPr="00324848" w:rsidRDefault="001272A4" w:rsidP="001272A4">
            <w:pPr>
              <w:pStyle w:val="TDummyRow"/>
              <w:jc w:val="left"/>
              <w:rPr>
                <w:rFonts w:ascii="Arial" w:hAnsi="Arial" w:cs="Arial"/>
              </w:rPr>
            </w:pPr>
          </w:p>
        </w:tc>
        <w:tc>
          <w:tcPr>
            <w:tcW w:w="986" w:type="dxa"/>
            <w:tcBorders>
              <w:top w:val="single" w:sz="4" w:space="0" w:color="006EB4"/>
            </w:tcBorders>
            <w:shd w:val="clear" w:color="auto" w:fill="FFFFFF"/>
          </w:tcPr>
          <w:p w:rsidR="001272A4" w:rsidRPr="00324848" w:rsidRDefault="001272A4" w:rsidP="001272A4">
            <w:pPr>
              <w:pStyle w:val="TDummyRow"/>
              <w:jc w:val="left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006EB4"/>
            </w:tcBorders>
            <w:shd w:val="clear" w:color="auto" w:fill="FFFFFF"/>
          </w:tcPr>
          <w:p w:rsidR="001272A4" w:rsidRPr="00324848" w:rsidRDefault="001272A4" w:rsidP="001272A4">
            <w:pPr>
              <w:pStyle w:val="TDummyRow"/>
              <w:jc w:val="left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6EB4"/>
              <w:right w:val="single" w:sz="24" w:space="0" w:color="FFFFFF"/>
            </w:tcBorders>
            <w:shd w:val="clear" w:color="auto" w:fill="FFFFFF"/>
          </w:tcPr>
          <w:p w:rsidR="001272A4" w:rsidRPr="00324848" w:rsidRDefault="001272A4" w:rsidP="001272A4">
            <w:pPr>
              <w:pStyle w:val="TDummyRow"/>
              <w:jc w:val="left"/>
              <w:rPr>
                <w:rFonts w:ascii="Arial" w:hAnsi="Arial" w:cs="Arial"/>
              </w:rPr>
            </w:pPr>
          </w:p>
        </w:tc>
      </w:tr>
      <w:bookmarkEnd w:id="8"/>
    </w:tbl>
    <w:p w:rsidR="00831601" w:rsidRDefault="00831601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1A275E" w:rsidRDefault="001A275E" w:rsidP="00564E81">
      <w:pPr>
        <w:pStyle w:val="HTMLVorformatiert"/>
        <w:shd w:val="clear" w:color="auto" w:fill="FFFFFF"/>
        <w:spacing w:line="240" w:lineRule="exact"/>
        <w:rPr>
          <w:rFonts w:ascii="Arial" w:eastAsia="Times New Roman" w:hAnsi="Arial" w:cs="Arial"/>
          <w:bCs/>
          <w:sz w:val="18"/>
          <w:szCs w:val="18"/>
          <w:lang w:val="de-AT" w:eastAsia="de-DE"/>
        </w:rPr>
      </w:pPr>
      <w:r>
        <w:rPr>
          <w:rFonts w:ascii="Arial" w:hAnsi="Arial" w:cs="Arial"/>
          <w:color w:val="000000"/>
          <w:sz w:val="18"/>
          <w:szCs w:val="18"/>
        </w:rPr>
        <w:t>Al</w:t>
      </w:r>
      <w:r w:rsidRPr="00B76C3C">
        <w:rPr>
          <w:rFonts w:ascii="Arial" w:hAnsi="Arial" w:cs="Arial"/>
          <w:color w:val="000000"/>
          <w:sz w:val="18"/>
          <w:szCs w:val="18"/>
        </w:rPr>
        <w:t>l figures according to IFRS. Due to the utilization of automatic calculation programs, differences can arise in the</w:t>
      </w:r>
      <w:r w:rsidR="00564E81">
        <w:rPr>
          <w:rFonts w:ascii="Arial" w:hAnsi="Arial" w:cs="Arial"/>
          <w:color w:val="000000"/>
          <w:sz w:val="18"/>
          <w:szCs w:val="18"/>
        </w:rPr>
        <w:t xml:space="preserve"> </w:t>
      </w:r>
      <w:r w:rsidRPr="00B76C3C">
        <w:rPr>
          <w:rFonts w:ascii="Arial" w:hAnsi="Arial" w:cs="Arial"/>
          <w:color w:val="000000"/>
          <w:sz w:val="18"/>
          <w:szCs w:val="18"/>
        </w:rPr>
        <w:t xml:space="preserve">addition of rounded totals and percentages. </w:t>
      </w:r>
      <w:r w:rsidRPr="00B76C3C">
        <w:rPr>
          <w:rFonts w:ascii="Arial" w:hAnsi="Arial" w:cs="Arial"/>
          <w:color w:val="000000"/>
          <w:sz w:val="18"/>
          <w:szCs w:val="18"/>
          <w:lang w:val="de-AT"/>
        </w:rPr>
        <w:t xml:space="preserve">MEUR = </w:t>
      </w:r>
      <w:proofErr w:type="spellStart"/>
      <w:r w:rsidRPr="00B76C3C">
        <w:rPr>
          <w:rFonts w:ascii="Arial" w:hAnsi="Arial" w:cs="Arial"/>
          <w:color w:val="000000"/>
          <w:sz w:val="18"/>
          <w:szCs w:val="18"/>
          <w:lang w:val="de-AT"/>
        </w:rPr>
        <w:t>million</w:t>
      </w:r>
      <w:proofErr w:type="spellEnd"/>
      <w:r w:rsidRPr="00B76C3C">
        <w:rPr>
          <w:rFonts w:ascii="Arial" w:hAnsi="Arial" w:cs="Arial"/>
          <w:color w:val="000000"/>
          <w:sz w:val="18"/>
          <w:szCs w:val="18"/>
          <w:lang w:val="de-AT"/>
        </w:rPr>
        <w:t xml:space="preserve"> </w:t>
      </w:r>
      <w:proofErr w:type="spellStart"/>
      <w:r w:rsidRPr="00B76C3C">
        <w:rPr>
          <w:rFonts w:ascii="Arial" w:hAnsi="Arial" w:cs="Arial"/>
          <w:color w:val="000000"/>
          <w:sz w:val="18"/>
          <w:szCs w:val="18"/>
          <w:lang w:val="de-AT"/>
        </w:rPr>
        <w:t>euro</w:t>
      </w:r>
      <w:proofErr w:type="spellEnd"/>
      <w:r w:rsidRPr="00B76C3C">
        <w:rPr>
          <w:rFonts w:ascii="Arial" w:hAnsi="Arial" w:cs="Arial"/>
          <w:color w:val="000000"/>
          <w:sz w:val="18"/>
          <w:szCs w:val="18"/>
          <w:lang w:val="de-AT"/>
        </w:rPr>
        <w:t xml:space="preserve">. EUR = </w:t>
      </w:r>
      <w:proofErr w:type="spellStart"/>
      <w:r w:rsidRPr="00B76C3C">
        <w:rPr>
          <w:rFonts w:ascii="Arial" w:hAnsi="Arial" w:cs="Arial"/>
          <w:color w:val="000000"/>
          <w:sz w:val="18"/>
          <w:szCs w:val="18"/>
          <w:lang w:val="de-AT"/>
        </w:rPr>
        <w:t>euro</w:t>
      </w:r>
      <w:proofErr w:type="spellEnd"/>
      <w:r w:rsidRPr="00B76C3C">
        <w:rPr>
          <w:rFonts w:ascii="Arial" w:hAnsi="Arial" w:cs="Arial"/>
          <w:color w:val="000000"/>
          <w:sz w:val="18"/>
          <w:szCs w:val="18"/>
          <w:lang w:val="de-AT"/>
        </w:rPr>
        <w:t>.</w:t>
      </w:r>
    </w:p>
    <w:p w:rsidR="001A275E" w:rsidRDefault="001A275E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bookmarkEnd w:id="6"/>
    <w:p w:rsidR="001A275E" w:rsidRDefault="001A275E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sectPr w:rsidR="001A275E" w:rsidSect="00E75752">
      <w:headerReference w:type="default" r:id="rId11"/>
      <w:headerReference w:type="first" r:id="rId12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CC0" w:rsidRPr="0088201D" w:rsidRDefault="00452CC0" w:rsidP="006A7019">
      <w:r>
        <w:separator/>
      </w:r>
    </w:p>
  </w:endnote>
  <w:endnote w:type="continuationSeparator" w:id="0">
    <w:p w:rsidR="00452CC0" w:rsidRPr="0088201D" w:rsidRDefault="00452CC0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CC0" w:rsidRPr="0088201D" w:rsidRDefault="00452CC0" w:rsidP="006A7019">
      <w:r>
        <w:separator/>
      </w:r>
    </w:p>
  </w:footnote>
  <w:footnote w:type="continuationSeparator" w:id="0">
    <w:p w:rsidR="00452CC0" w:rsidRPr="0088201D" w:rsidRDefault="00452CC0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39C" w:rsidRPr="008A6F0F" w:rsidRDefault="00A0739C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</w:rPr>
      <w:t xml:space="preserve">Page: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PAGE </w:instrText>
    </w:r>
    <w:r w:rsidRPr="008A6F0F">
      <w:rPr>
        <w:color w:val="000000"/>
      </w:rPr>
      <w:fldChar w:fldCharType="separate"/>
    </w:r>
    <w:r w:rsidR="0058598A">
      <w:rPr>
        <w:noProof/>
        <w:color w:val="000000"/>
      </w:rPr>
      <w:t>2</w:t>
    </w:r>
    <w:r w:rsidRPr="008A6F0F">
      <w:rPr>
        <w:color w:val="000000"/>
      </w:rPr>
      <w:fldChar w:fldCharType="end"/>
    </w:r>
    <w:r>
      <w:t xml:space="preserve"> (of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NUMPAGES </w:instrText>
    </w:r>
    <w:r w:rsidRPr="008A6F0F">
      <w:rPr>
        <w:color w:val="000000"/>
      </w:rPr>
      <w:fldChar w:fldCharType="separate"/>
    </w:r>
    <w:r w:rsidR="0058598A">
      <w:rPr>
        <w:noProof/>
        <w:color w:val="000000"/>
      </w:rPr>
      <w:t>3</w:t>
    </w:r>
    <w:r w:rsidRPr="008A6F0F">
      <w:rPr>
        <w:color w:val="000000"/>
      </w:rPr>
      <w:fldChar w:fldCharType="end"/>
    </w:r>
    <w:r>
      <w:t>)</w:t>
    </w:r>
  </w:p>
  <w:p w:rsidR="00A0739C" w:rsidRPr="001F6C7A" w:rsidRDefault="00A0739C" w:rsidP="000E35ED">
    <w:r>
      <w:rPr>
        <w:noProof/>
        <w:lang w:val="de-AT" w:eastAsia="de-AT" w:bidi="ar-SA"/>
      </w:rPr>
      <w:drawing>
        <wp:anchor distT="0" distB="0" distL="114300" distR="114300" simplePos="0" relativeHeight="251658240" behindDoc="0" locked="0" layoutInCell="1" allowOverlap="1" wp14:anchorId="7B2728FF" wp14:editId="285CACA2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39C" w:rsidRDefault="00A0739C" w:rsidP="008E5790">
    <w:pPr>
      <w:pStyle w:val="Kopfzeile"/>
      <w:tabs>
        <w:tab w:val="clear" w:pos="7371"/>
        <w:tab w:val="left" w:pos="9900"/>
      </w:tabs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06578F35" wp14:editId="681D9B40">
              <wp:simplePos x="0" y="0"/>
              <wp:positionH relativeFrom="page">
                <wp:posOffset>575945</wp:posOffset>
              </wp:positionH>
              <wp:positionV relativeFrom="page">
                <wp:posOffset>2160270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70.1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Ony&#10;EEL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  <w:r>
      <w:rPr>
        <w:noProof/>
        <w:lang w:val="de-AT" w:eastAsia="de-AT" w:bidi="ar-SA"/>
      </w:rPr>
      <w:drawing>
        <wp:anchor distT="0" distB="0" distL="114300" distR="114300" simplePos="0" relativeHeight="251660288" behindDoc="0" locked="0" layoutInCell="1" allowOverlap="1" wp14:anchorId="52D9CC87" wp14:editId="08882E90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432B7B"/>
    <w:multiLevelType w:val="hybridMultilevel"/>
    <w:tmpl w:val="98C07AD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484F54"/>
    <w:multiLevelType w:val="hybridMultilevel"/>
    <w:tmpl w:val="43881C9C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6235FF"/>
    <w:multiLevelType w:val="multilevel"/>
    <w:tmpl w:val="5F8AC2AC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21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CF5EAC"/>
    <w:multiLevelType w:val="singleLevel"/>
    <w:tmpl w:val="35BE33F6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3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5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7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B47BB2"/>
    <w:multiLevelType w:val="hybridMultilevel"/>
    <w:tmpl w:val="5BAEA92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4">
    <w:nsid w:val="7F0F2ACC"/>
    <w:multiLevelType w:val="singleLevel"/>
    <w:tmpl w:val="A336B8A4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5"/>
  </w:num>
  <w:num w:numId="13">
    <w:abstractNumId w:val="27"/>
  </w:num>
  <w:num w:numId="14">
    <w:abstractNumId w:val="27"/>
  </w:num>
  <w:num w:numId="15">
    <w:abstractNumId w:val="13"/>
  </w:num>
  <w:num w:numId="16">
    <w:abstractNumId w:val="17"/>
  </w:num>
  <w:num w:numId="17">
    <w:abstractNumId w:val="14"/>
  </w:num>
  <w:num w:numId="18">
    <w:abstractNumId w:val="27"/>
  </w:num>
  <w:num w:numId="19">
    <w:abstractNumId w:val="13"/>
  </w:num>
  <w:num w:numId="20">
    <w:abstractNumId w:val="17"/>
  </w:num>
  <w:num w:numId="21">
    <w:abstractNumId w:val="14"/>
  </w:num>
  <w:num w:numId="22">
    <w:abstractNumId w:val="27"/>
  </w:num>
  <w:num w:numId="23">
    <w:abstractNumId w:val="13"/>
  </w:num>
  <w:num w:numId="24">
    <w:abstractNumId w:val="17"/>
  </w:num>
  <w:num w:numId="25">
    <w:abstractNumId w:val="14"/>
  </w:num>
  <w:num w:numId="26">
    <w:abstractNumId w:val="33"/>
  </w:num>
  <w:num w:numId="27">
    <w:abstractNumId w:val="33"/>
  </w:num>
  <w:num w:numId="28">
    <w:abstractNumId w:val="13"/>
  </w:num>
  <w:num w:numId="29">
    <w:abstractNumId w:val="17"/>
  </w:num>
  <w:num w:numId="30">
    <w:abstractNumId w:val="14"/>
  </w:num>
  <w:num w:numId="31">
    <w:abstractNumId w:val="22"/>
  </w:num>
  <w:num w:numId="32">
    <w:abstractNumId w:val="33"/>
  </w:num>
  <w:num w:numId="33">
    <w:abstractNumId w:val="13"/>
  </w:num>
  <w:num w:numId="34">
    <w:abstractNumId w:val="17"/>
  </w:num>
  <w:num w:numId="35">
    <w:abstractNumId w:val="14"/>
  </w:num>
  <w:num w:numId="36">
    <w:abstractNumId w:val="20"/>
  </w:num>
  <w:num w:numId="37">
    <w:abstractNumId w:val="32"/>
  </w:num>
  <w:num w:numId="38">
    <w:abstractNumId w:val="31"/>
  </w:num>
  <w:num w:numId="39">
    <w:abstractNumId w:val="28"/>
  </w:num>
  <w:num w:numId="40">
    <w:abstractNumId w:val="34"/>
  </w:num>
  <w:num w:numId="41">
    <w:abstractNumId w:val="16"/>
  </w:num>
  <w:num w:numId="42">
    <w:abstractNumId w:val="30"/>
  </w:num>
  <w:num w:numId="43">
    <w:abstractNumId w:val="19"/>
  </w:num>
  <w:num w:numId="44">
    <w:abstractNumId w:val="11"/>
  </w:num>
  <w:num w:numId="45">
    <w:abstractNumId w:val="21"/>
  </w:num>
  <w:num w:numId="46">
    <w:abstractNumId w:val="23"/>
  </w:num>
  <w:num w:numId="47">
    <w:abstractNumId w:val="10"/>
  </w:num>
  <w:num w:numId="48">
    <w:abstractNumId w:val="29"/>
  </w:num>
  <w:num w:numId="49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nise Mcallister">
    <w15:presenceInfo w15:providerId="AD" w15:userId="S-1-5-21-2576428840-2386902920-1531208493-11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1" w:val="&lt;excelinfo&gt;_x000d__x000a_&lt;file&gt;J:\report2015q3\Fire.sys\Datenbasis\A_Master-Datenbasis.xlsm&lt;/file&gt;_x000d__x000a_&lt;sheet&gt;KennzahlenTab_AQ&lt;/sheet&gt;_x000d__x000a_&lt;bereichstyp&gt;1&lt;/bereichstyp&gt;_x000d__x000a_&lt;bereichsname&gt;KennzahlenTab_AQ!PI_AQ&lt;/bereichsname&gt;_x000d__x000a_&lt;adresse&gt;$B$246:$J$268&lt;/adresse&gt;_x000d__x000a_&lt;lastupdate&gt;42305_x0009_4473&lt;/lastupdate&gt;_x000d__x000a_&lt;lastuser&gt;Pokorny Oliver&lt;/lastuser&gt;_x000d__x000a_&lt;autoformat&gt;0&lt;/autoformat&gt;_x000d__x000a_&lt;autoanpassen&gt;0&lt;/autoanpassen&gt;_x000d__x000a_&lt;noakt&gt;0&lt;/noakt&gt;_x000d__x000a_&lt;prob&gt;&lt;/prob&gt;_x000d__x000a_&lt;create&gt;42300_x0009_4334&lt;/create&gt;_x000d__x000a_&lt;author&gt;Kainbacher Mario&lt;/author&gt;_x000d__x000a_&lt;page&gt;3&lt;/page&gt;_x000d__x000a_&lt;block&gt;&lt;/block&gt;_x000d__x000a_&lt;status&gt;42305_x0009_4473&lt;/status&gt;_x000d__x000a_&lt;comment&gt;&lt;/comment&gt;_x000d__x000a_&lt;sharep_1&gt;&lt;/sharep_1&gt;_x000d__x000a_&lt;sharep_2&gt;&lt;/sharep_2&gt;_x000d__x000a_&lt;warnings&gt;0|0|0|0|0|0|0|0|0|0|0|0&lt;/warnings&gt;_x000d__x000a_&lt;FSTCOLU&gt;2015-10-28T09:02:19Z&lt;/FSTCOLU&gt;_x000d__x000a_&lt;FSTLT&gt;&lt;/FSTLT&gt;_x000d__x000a_&lt;TLI&gt;&lt;/TLI&gt;_x000d__x000a_&lt;FCWT&gt;&lt;/FCWT&gt;_x000d__x000a_&lt;FCST&gt;0&lt;/FCST&gt;_x000d__x000a_&lt;/excelinfo&gt;"/>
    <w:docVar w:name="_FLink_1T_fdll_2" w:val="&lt;excelinfo&gt;_x000d__x000a_&lt;file&gt;J:\report2014q3\Fire.sys\Datenbasis\Andritz Konsolidiert.xlsm&lt;/file&gt;_x000d__x000a_&lt;sheet&gt;Kennzahlen Presseinfo&lt;/sheet&gt;_x000d__x000a_&lt;bereichstyp&gt;2&lt;/bereichstyp&gt;_x000d__x000a_&lt;bereichsname&gt;&lt;/bereichsname&gt;_x000d__x000a_&lt;adresse&gt;$A$1:$I$23&lt;/adresse&gt;_x000d__x000a_&lt;lastupdate&gt;41942_x0009_4990&lt;/lastupdate&gt;_x000d__x000a_&lt;lastuser&gt;Pokorny Oliver&lt;/lastuser&gt;_x000d__x000a_&lt;autoformat&gt;0&lt;/autoformat&gt;_x000d__x000a_&lt;autoanpassen&gt;0&lt;/autoanpassen&gt;_x000d__x000a_&lt;noakt&gt;0&lt;/noakt&gt;_x000d__x000a_&lt;prob&gt;&lt;/prob&gt;_x000d__x000a_&lt;create&gt;41939_x0009_3654&lt;/create&gt;_x000d__x000a_&lt;author&gt;Wolf Petra&lt;/author&gt;_x000d__x000a_&lt;page&gt;5&lt;/page&gt;_x000d__x000a_&lt;block&gt;&lt;/block&gt;_x000d__x000a_&lt;status&gt;41942_x0009_4990&lt;/status&gt;_x000d__x000a_&lt;comment&gt;&lt;/comment&gt;_x000d__x000a_&lt;sharep_1&gt;&lt;/sharep_1&gt;_x000d__x000a_&lt;sharep_2&gt;&lt;/sharep_2&gt;_x000d__x000a_&lt;warnings&gt;0|0|0|0|0|0|0|0|0|0|0|0&lt;/warnings&gt;_x000d__x000a_&lt;FSTCOLU&gt;2014-10-30T10:34:07Z&lt;/FSTCOLU&gt;_x000d__x000a_&lt;FSTLT&gt;&lt;/FSTLT&gt;_x000d__x000a_&lt;TLI&gt;&lt;/TLI&gt;_x000d__x000a_&lt;FCWT&gt;&lt;/FCWT&gt;_x000d__x000a_&lt;FCST&gt;0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&lt;LayoutSets active=&quot;0&quot; viewtype=&quot;0&quot;  viewmode=&quot;0&quot;&gt; _x000d__x000a_&lt;LayoutSet id=&quot;0&quot; default=&quot;Gesamtansicht&quot; name=&quot;Gesamtansicht&quot; /&gt;_x000d__x000a_&lt;LayoutSet id=&quot;1&quot; default=&quot;Variante 1&quot; name=&quot;Variante 1&quot; /&gt;_x000d__x000a_&lt;LayoutSet id=&quot;2&quot; default=&quot;Variante 2&quot; name=&quot;Variante 2&quot; /&gt;_x000d__x000a_&lt;LayoutSet id=&quot;3&quot; default=&quot;Variante 3&quot; name=&quot;Variante 3&quot; /&gt;_x000d__x000a_&lt;LayoutSet id=&quot;4&quot; default=&quot;Variante 4&quot; name=&quot;Variante 4&quot; /&gt;_x000d__x000a_&lt;/LayoutSets&gt;_x000d__x000a_&lt;/Settings&gt;"/>
    <w:docVar w:name="dvPorterStateObjectId" w:val="000000001_013227667_64321"/>
    <w:docVar w:name="FIREswitch" w:val="1"/>
    <w:docVar w:name="fireTransConfiguration" w:val="&lt;?xml version=&quot;1.0&quot;?&gt;_x000d__x000a_&lt;firetrans useSynopsis=&quot;-1&quot; lastlang=&quot;l2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D5B"/>
    <w:rsid w:val="00012669"/>
    <w:rsid w:val="00014164"/>
    <w:rsid w:val="00015284"/>
    <w:rsid w:val="00015A8C"/>
    <w:rsid w:val="00016B2C"/>
    <w:rsid w:val="0001736F"/>
    <w:rsid w:val="000208CD"/>
    <w:rsid w:val="00021680"/>
    <w:rsid w:val="00021E0D"/>
    <w:rsid w:val="00022241"/>
    <w:rsid w:val="00024389"/>
    <w:rsid w:val="0002468F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305D"/>
    <w:rsid w:val="000330A4"/>
    <w:rsid w:val="000331D3"/>
    <w:rsid w:val="00034AD1"/>
    <w:rsid w:val="00035783"/>
    <w:rsid w:val="00036221"/>
    <w:rsid w:val="0003637D"/>
    <w:rsid w:val="000363BF"/>
    <w:rsid w:val="0003696D"/>
    <w:rsid w:val="000406F9"/>
    <w:rsid w:val="00042A3B"/>
    <w:rsid w:val="00042E24"/>
    <w:rsid w:val="0004379C"/>
    <w:rsid w:val="0004385D"/>
    <w:rsid w:val="0004462A"/>
    <w:rsid w:val="00044638"/>
    <w:rsid w:val="000460AB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32E"/>
    <w:rsid w:val="00060D0A"/>
    <w:rsid w:val="00060FCE"/>
    <w:rsid w:val="00061793"/>
    <w:rsid w:val="00062D3F"/>
    <w:rsid w:val="00063872"/>
    <w:rsid w:val="00064729"/>
    <w:rsid w:val="00064D57"/>
    <w:rsid w:val="000675DA"/>
    <w:rsid w:val="00067BB5"/>
    <w:rsid w:val="00067ECD"/>
    <w:rsid w:val="000710C7"/>
    <w:rsid w:val="000723D8"/>
    <w:rsid w:val="000723E8"/>
    <w:rsid w:val="0007276A"/>
    <w:rsid w:val="000731A3"/>
    <w:rsid w:val="000733C9"/>
    <w:rsid w:val="00073E1F"/>
    <w:rsid w:val="00074351"/>
    <w:rsid w:val="000744F9"/>
    <w:rsid w:val="00074FA3"/>
    <w:rsid w:val="00075713"/>
    <w:rsid w:val="00075BAE"/>
    <w:rsid w:val="000763C1"/>
    <w:rsid w:val="0007745F"/>
    <w:rsid w:val="000802A1"/>
    <w:rsid w:val="00080B0D"/>
    <w:rsid w:val="00081512"/>
    <w:rsid w:val="00081CE8"/>
    <w:rsid w:val="00082C65"/>
    <w:rsid w:val="000839E6"/>
    <w:rsid w:val="00084304"/>
    <w:rsid w:val="0008533E"/>
    <w:rsid w:val="0008559F"/>
    <w:rsid w:val="00085835"/>
    <w:rsid w:val="00085A6D"/>
    <w:rsid w:val="000863FA"/>
    <w:rsid w:val="00086546"/>
    <w:rsid w:val="000866DE"/>
    <w:rsid w:val="00087F9B"/>
    <w:rsid w:val="000909B1"/>
    <w:rsid w:val="00091DCC"/>
    <w:rsid w:val="0009292F"/>
    <w:rsid w:val="000931B8"/>
    <w:rsid w:val="000950AD"/>
    <w:rsid w:val="00095474"/>
    <w:rsid w:val="000958B1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4CFC"/>
    <w:rsid w:val="000B5B84"/>
    <w:rsid w:val="000B62C6"/>
    <w:rsid w:val="000C182A"/>
    <w:rsid w:val="000C1E03"/>
    <w:rsid w:val="000C2639"/>
    <w:rsid w:val="000C463F"/>
    <w:rsid w:val="000C4A94"/>
    <w:rsid w:val="000C5324"/>
    <w:rsid w:val="000C5B42"/>
    <w:rsid w:val="000C5DC7"/>
    <w:rsid w:val="000C6E09"/>
    <w:rsid w:val="000C6FD5"/>
    <w:rsid w:val="000D100A"/>
    <w:rsid w:val="000D1163"/>
    <w:rsid w:val="000D1177"/>
    <w:rsid w:val="000D20B5"/>
    <w:rsid w:val="000D2F11"/>
    <w:rsid w:val="000D2FA8"/>
    <w:rsid w:val="000D3E6F"/>
    <w:rsid w:val="000D4266"/>
    <w:rsid w:val="000D5256"/>
    <w:rsid w:val="000D5D25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6052"/>
    <w:rsid w:val="000E6210"/>
    <w:rsid w:val="000E62F1"/>
    <w:rsid w:val="000E6611"/>
    <w:rsid w:val="000E6C08"/>
    <w:rsid w:val="000E7497"/>
    <w:rsid w:val="000F0359"/>
    <w:rsid w:val="000F2DB4"/>
    <w:rsid w:val="000F42BB"/>
    <w:rsid w:val="000F47F1"/>
    <w:rsid w:val="000F5682"/>
    <w:rsid w:val="000F6AE6"/>
    <w:rsid w:val="000F718F"/>
    <w:rsid w:val="000F7825"/>
    <w:rsid w:val="00103CFF"/>
    <w:rsid w:val="0010433A"/>
    <w:rsid w:val="00105B0E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4CFA"/>
    <w:rsid w:val="00125B4F"/>
    <w:rsid w:val="00126F66"/>
    <w:rsid w:val="00126FF2"/>
    <w:rsid w:val="001272A4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441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DF2"/>
    <w:rsid w:val="00153EBA"/>
    <w:rsid w:val="00154B15"/>
    <w:rsid w:val="001566DE"/>
    <w:rsid w:val="00157FB4"/>
    <w:rsid w:val="001612DA"/>
    <w:rsid w:val="0016156C"/>
    <w:rsid w:val="00163390"/>
    <w:rsid w:val="00163F1A"/>
    <w:rsid w:val="0016492D"/>
    <w:rsid w:val="00166266"/>
    <w:rsid w:val="0017100F"/>
    <w:rsid w:val="001710B2"/>
    <w:rsid w:val="0017193E"/>
    <w:rsid w:val="001721E4"/>
    <w:rsid w:val="00173734"/>
    <w:rsid w:val="001741A8"/>
    <w:rsid w:val="001745C4"/>
    <w:rsid w:val="0017473C"/>
    <w:rsid w:val="00175F93"/>
    <w:rsid w:val="00180BC0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6D75"/>
    <w:rsid w:val="001972C8"/>
    <w:rsid w:val="0019766B"/>
    <w:rsid w:val="00197A5C"/>
    <w:rsid w:val="001A1815"/>
    <w:rsid w:val="001A275E"/>
    <w:rsid w:val="001A371D"/>
    <w:rsid w:val="001A3BF2"/>
    <w:rsid w:val="001A4E87"/>
    <w:rsid w:val="001A4EA9"/>
    <w:rsid w:val="001A54FC"/>
    <w:rsid w:val="001A6AF9"/>
    <w:rsid w:val="001A7504"/>
    <w:rsid w:val="001A7BF2"/>
    <w:rsid w:val="001B062F"/>
    <w:rsid w:val="001B099B"/>
    <w:rsid w:val="001B11BA"/>
    <w:rsid w:val="001B182C"/>
    <w:rsid w:val="001B2204"/>
    <w:rsid w:val="001B37CE"/>
    <w:rsid w:val="001B50E1"/>
    <w:rsid w:val="001B59DE"/>
    <w:rsid w:val="001B5D17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5540"/>
    <w:rsid w:val="001D5CB4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131AE"/>
    <w:rsid w:val="00214295"/>
    <w:rsid w:val="00215E44"/>
    <w:rsid w:val="002162CE"/>
    <w:rsid w:val="00220548"/>
    <w:rsid w:val="00221463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087"/>
    <w:rsid w:val="00237555"/>
    <w:rsid w:val="00240DC8"/>
    <w:rsid w:val="00242535"/>
    <w:rsid w:val="00242F25"/>
    <w:rsid w:val="0024340B"/>
    <w:rsid w:val="00243FB7"/>
    <w:rsid w:val="00244722"/>
    <w:rsid w:val="00244EFF"/>
    <w:rsid w:val="00244F1C"/>
    <w:rsid w:val="0024521D"/>
    <w:rsid w:val="0024693B"/>
    <w:rsid w:val="00246DC2"/>
    <w:rsid w:val="00246F31"/>
    <w:rsid w:val="002472A1"/>
    <w:rsid w:val="00247C7B"/>
    <w:rsid w:val="00250CFB"/>
    <w:rsid w:val="00253057"/>
    <w:rsid w:val="00253932"/>
    <w:rsid w:val="00253D6D"/>
    <w:rsid w:val="002540FA"/>
    <w:rsid w:val="002544FD"/>
    <w:rsid w:val="00254625"/>
    <w:rsid w:val="0025475F"/>
    <w:rsid w:val="00254C1E"/>
    <w:rsid w:val="002553B4"/>
    <w:rsid w:val="0025563B"/>
    <w:rsid w:val="002565F2"/>
    <w:rsid w:val="002569E6"/>
    <w:rsid w:val="00256B5E"/>
    <w:rsid w:val="00257BCF"/>
    <w:rsid w:val="00260CDF"/>
    <w:rsid w:val="002611CC"/>
    <w:rsid w:val="002627A0"/>
    <w:rsid w:val="0026321A"/>
    <w:rsid w:val="00264C9F"/>
    <w:rsid w:val="00264FBD"/>
    <w:rsid w:val="00265825"/>
    <w:rsid w:val="00267299"/>
    <w:rsid w:val="00270A8E"/>
    <w:rsid w:val="002718FE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BFC"/>
    <w:rsid w:val="00285060"/>
    <w:rsid w:val="0028609F"/>
    <w:rsid w:val="00286971"/>
    <w:rsid w:val="002905C1"/>
    <w:rsid w:val="00290660"/>
    <w:rsid w:val="0029159F"/>
    <w:rsid w:val="002941F7"/>
    <w:rsid w:val="002955DB"/>
    <w:rsid w:val="00296021"/>
    <w:rsid w:val="00297B26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40"/>
    <w:rsid w:val="002A6988"/>
    <w:rsid w:val="002A77F9"/>
    <w:rsid w:val="002A7E45"/>
    <w:rsid w:val="002B0F31"/>
    <w:rsid w:val="002B413B"/>
    <w:rsid w:val="002B4D66"/>
    <w:rsid w:val="002B5734"/>
    <w:rsid w:val="002B669E"/>
    <w:rsid w:val="002B68D2"/>
    <w:rsid w:val="002B6F28"/>
    <w:rsid w:val="002B7E46"/>
    <w:rsid w:val="002C02CF"/>
    <w:rsid w:val="002C03D3"/>
    <w:rsid w:val="002C1095"/>
    <w:rsid w:val="002C2833"/>
    <w:rsid w:val="002C42CB"/>
    <w:rsid w:val="002C5DC5"/>
    <w:rsid w:val="002C6A5C"/>
    <w:rsid w:val="002C7C2F"/>
    <w:rsid w:val="002D02F3"/>
    <w:rsid w:val="002D166F"/>
    <w:rsid w:val="002D1B15"/>
    <w:rsid w:val="002D1DBA"/>
    <w:rsid w:val="002D4184"/>
    <w:rsid w:val="002D43FA"/>
    <w:rsid w:val="002D4F47"/>
    <w:rsid w:val="002D54B9"/>
    <w:rsid w:val="002D55BC"/>
    <w:rsid w:val="002D5F6C"/>
    <w:rsid w:val="002D6380"/>
    <w:rsid w:val="002D7203"/>
    <w:rsid w:val="002E0CB3"/>
    <w:rsid w:val="002E12D0"/>
    <w:rsid w:val="002E12FC"/>
    <w:rsid w:val="002E33FC"/>
    <w:rsid w:val="002E39DD"/>
    <w:rsid w:val="002E5A08"/>
    <w:rsid w:val="002E5AE9"/>
    <w:rsid w:val="002E6657"/>
    <w:rsid w:val="002E7342"/>
    <w:rsid w:val="002E76EE"/>
    <w:rsid w:val="002F09E8"/>
    <w:rsid w:val="002F0F37"/>
    <w:rsid w:val="002F1795"/>
    <w:rsid w:val="002F23F8"/>
    <w:rsid w:val="002F2CED"/>
    <w:rsid w:val="002F40AD"/>
    <w:rsid w:val="002F45A5"/>
    <w:rsid w:val="002F51F5"/>
    <w:rsid w:val="002F5FB2"/>
    <w:rsid w:val="002F7359"/>
    <w:rsid w:val="00300897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4AF7"/>
    <w:rsid w:val="00315CC6"/>
    <w:rsid w:val="00316AD2"/>
    <w:rsid w:val="00320E88"/>
    <w:rsid w:val="003214D0"/>
    <w:rsid w:val="003224F2"/>
    <w:rsid w:val="00322D1D"/>
    <w:rsid w:val="00323696"/>
    <w:rsid w:val="00324848"/>
    <w:rsid w:val="00324968"/>
    <w:rsid w:val="00324D62"/>
    <w:rsid w:val="00325225"/>
    <w:rsid w:val="00325B59"/>
    <w:rsid w:val="00327279"/>
    <w:rsid w:val="00327EC3"/>
    <w:rsid w:val="003303C5"/>
    <w:rsid w:val="0033087A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1290"/>
    <w:rsid w:val="00341634"/>
    <w:rsid w:val="003424E5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2414"/>
    <w:rsid w:val="00353D0D"/>
    <w:rsid w:val="0035407B"/>
    <w:rsid w:val="00354E6C"/>
    <w:rsid w:val="003566BC"/>
    <w:rsid w:val="003573F1"/>
    <w:rsid w:val="003601FE"/>
    <w:rsid w:val="0036575A"/>
    <w:rsid w:val="0036583A"/>
    <w:rsid w:val="00365968"/>
    <w:rsid w:val="00365CB2"/>
    <w:rsid w:val="00365D7A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528"/>
    <w:rsid w:val="00373B62"/>
    <w:rsid w:val="00373F76"/>
    <w:rsid w:val="00375252"/>
    <w:rsid w:val="00375A4B"/>
    <w:rsid w:val="003769D4"/>
    <w:rsid w:val="003773DC"/>
    <w:rsid w:val="00377C6B"/>
    <w:rsid w:val="00380413"/>
    <w:rsid w:val="003816BE"/>
    <w:rsid w:val="003831D7"/>
    <w:rsid w:val="003839B6"/>
    <w:rsid w:val="003846AC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740E"/>
    <w:rsid w:val="003A76E2"/>
    <w:rsid w:val="003B101D"/>
    <w:rsid w:val="003B2A77"/>
    <w:rsid w:val="003B3E32"/>
    <w:rsid w:val="003B4169"/>
    <w:rsid w:val="003B49A0"/>
    <w:rsid w:val="003B4A75"/>
    <w:rsid w:val="003B6234"/>
    <w:rsid w:val="003B73D7"/>
    <w:rsid w:val="003B7877"/>
    <w:rsid w:val="003B7DF7"/>
    <w:rsid w:val="003C191F"/>
    <w:rsid w:val="003C266C"/>
    <w:rsid w:val="003C339F"/>
    <w:rsid w:val="003C5FC3"/>
    <w:rsid w:val="003C6A0B"/>
    <w:rsid w:val="003D1296"/>
    <w:rsid w:val="003D17A1"/>
    <w:rsid w:val="003D1D1C"/>
    <w:rsid w:val="003D49F2"/>
    <w:rsid w:val="003D517E"/>
    <w:rsid w:val="003D53FB"/>
    <w:rsid w:val="003D6132"/>
    <w:rsid w:val="003D6F69"/>
    <w:rsid w:val="003E151C"/>
    <w:rsid w:val="003E170D"/>
    <w:rsid w:val="003E551F"/>
    <w:rsid w:val="003E7FCC"/>
    <w:rsid w:val="003F0E9C"/>
    <w:rsid w:val="003F1080"/>
    <w:rsid w:val="003F1C3E"/>
    <w:rsid w:val="003F1DCD"/>
    <w:rsid w:val="003F2FF5"/>
    <w:rsid w:val="003F4AAA"/>
    <w:rsid w:val="003F5A37"/>
    <w:rsid w:val="003F640F"/>
    <w:rsid w:val="00400CC5"/>
    <w:rsid w:val="004013D8"/>
    <w:rsid w:val="00401B7A"/>
    <w:rsid w:val="004023F9"/>
    <w:rsid w:val="00403F96"/>
    <w:rsid w:val="004041BF"/>
    <w:rsid w:val="00404623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CEC"/>
    <w:rsid w:val="00416115"/>
    <w:rsid w:val="00417084"/>
    <w:rsid w:val="00420056"/>
    <w:rsid w:val="004217D5"/>
    <w:rsid w:val="00426FF4"/>
    <w:rsid w:val="00432717"/>
    <w:rsid w:val="00432DF8"/>
    <w:rsid w:val="004334C9"/>
    <w:rsid w:val="00434998"/>
    <w:rsid w:val="00436896"/>
    <w:rsid w:val="00437914"/>
    <w:rsid w:val="00437A01"/>
    <w:rsid w:val="0044007C"/>
    <w:rsid w:val="0044079D"/>
    <w:rsid w:val="00442B3C"/>
    <w:rsid w:val="00442EBE"/>
    <w:rsid w:val="00442FA5"/>
    <w:rsid w:val="0044360D"/>
    <w:rsid w:val="00444959"/>
    <w:rsid w:val="00446005"/>
    <w:rsid w:val="00446BF2"/>
    <w:rsid w:val="00446F68"/>
    <w:rsid w:val="0045044D"/>
    <w:rsid w:val="004516CC"/>
    <w:rsid w:val="00451F09"/>
    <w:rsid w:val="00452762"/>
    <w:rsid w:val="00452CC0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5A2"/>
    <w:rsid w:val="00462389"/>
    <w:rsid w:val="004639DA"/>
    <w:rsid w:val="00463C3F"/>
    <w:rsid w:val="00465486"/>
    <w:rsid w:val="00465763"/>
    <w:rsid w:val="004658B3"/>
    <w:rsid w:val="004664AB"/>
    <w:rsid w:val="004666FE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5E8"/>
    <w:rsid w:val="00477803"/>
    <w:rsid w:val="00477815"/>
    <w:rsid w:val="00482BF8"/>
    <w:rsid w:val="00482C36"/>
    <w:rsid w:val="00482E04"/>
    <w:rsid w:val="0048301B"/>
    <w:rsid w:val="004841CB"/>
    <w:rsid w:val="0048422A"/>
    <w:rsid w:val="004852A8"/>
    <w:rsid w:val="004865ED"/>
    <w:rsid w:val="00490D0A"/>
    <w:rsid w:val="00491762"/>
    <w:rsid w:val="00491B36"/>
    <w:rsid w:val="00491EFA"/>
    <w:rsid w:val="00492346"/>
    <w:rsid w:val="0049251E"/>
    <w:rsid w:val="004926D4"/>
    <w:rsid w:val="00493FF4"/>
    <w:rsid w:val="00494660"/>
    <w:rsid w:val="00495592"/>
    <w:rsid w:val="00495F83"/>
    <w:rsid w:val="00496FA6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0AD"/>
    <w:rsid w:val="004B56A6"/>
    <w:rsid w:val="004B5E1F"/>
    <w:rsid w:val="004B6837"/>
    <w:rsid w:val="004B749E"/>
    <w:rsid w:val="004B7C37"/>
    <w:rsid w:val="004C1179"/>
    <w:rsid w:val="004C4F04"/>
    <w:rsid w:val="004C5123"/>
    <w:rsid w:val="004C551B"/>
    <w:rsid w:val="004C5B16"/>
    <w:rsid w:val="004C5FC3"/>
    <w:rsid w:val="004C6062"/>
    <w:rsid w:val="004C6966"/>
    <w:rsid w:val="004C6988"/>
    <w:rsid w:val="004C6BF4"/>
    <w:rsid w:val="004D0290"/>
    <w:rsid w:val="004D02CB"/>
    <w:rsid w:val="004D0834"/>
    <w:rsid w:val="004D0A75"/>
    <w:rsid w:val="004D1549"/>
    <w:rsid w:val="004D18F5"/>
    <w:rsid w:val="004D3991"/>
    <w:rsid w:val="004D62BF"/>
    <w:rsid w:val="004D6EE0"/>
    <w:rsid w:val="004D7E1A"/>
    <w:rsid w:val="004E0002"/>
    <w:rsid w:val="004E167F"/>
    <w:rsid w:val="004E17C0"/>
    <w:rsid w:val="004E1DB4"/>
    <w:rsid w:val="004E31FE"/>
    <w:rsid w:val="004E3BFC"/>
    <w:rsid w:val="004E4EDF"/>
    <w:rsid w:val="004E5078"/>
    <w:rsid w:val="004E6375"/>
    <w:rsid w:val="004E6FB8"/>
    <w:rsid w:val="004E7918"/>
    <w:rsid w:val="004E7C7B"/>
    <w:rsid w:val="004E7E00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3C92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3B99"/>
    <w:rsid w:val="00504420"/>
    <w:rsid w:val="00504AA5"/>
    <w:rsid w:val="00504AC6"/>
    <w:rsid w:val="005057D6"/>
    <w:rsid w:val="0050772C"/>
    <w:rsid w:val="00510323"/>
    <w:rsid w:val="005124DD"/>
    <w:rsid w:val="00513DDC"/>
    <w:rsid w:val="00514908"/>
    <w:rsid w:val="00517435"/>
    <w:rsid w:val="005200A5"/>
    <w:rsid w:val="00520AF5"/>
    <w:rsid w:val="0052125E"/>
    <w:rsid w:val="00521786"/>
    <w:rsid w:val="00523499"/>
    <w:rsid w:val="005243E1"/>
    <w:rsid w:val="00525771"/>
    <w:rsid w:val="005258F9"/>
    <w:rsid w:val="005259D9"/>
    <w:rsid w:val="00525A49"/>
    <w:rsid w:val="0052722C"/>
    <w:rsid w:val="00527AF8"/>
    <w:rsid w:val="00530E13"/>
    <w:rsid w:val="00532D6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1EC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45D3"/>
    <w:rsid w:val="005565B0"/>
    <w:rsid w:val="005602E4"/>
    <w:rsid w:val="0056050C"/>
    <w:rsid w:val="005636E1"/>
    <w:rsid w:val="0056413D"/>
    <w:rsid w:val="00564E81"/>
    <w:rsid w:val="0056554E"/>
    <w:rsid w:val="00565BF7"/>
    <w:rsid w:val="00565D7C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598A"/>
    <w:rsid w:val="005865A0"/>
    <w:rsid w:val="00587DF1"/>
    <w:rsid w:val="00590B4A"/>
    <w:rsid w:val="005935CB"/>
    <w:rsid w:val="005936C7"/>
    <w:rsid w:val="005937C7"/>
    <w:rsid w:val="0059578C"/>
    <w:rsid w:val="0059595F"/>
    <w:rsid w:val="0059682F"/>
    <w:rsid w:val="00597C61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3504"/>
    <w:rsid w:val="005B5014"/>
    <w:rsid w:val="005B5089"/>
    <w:rsid w:val="005B6224"/>
    <w:rsid w:val="005B7523"/>
    <w:rsid w:val="005C2C25"/>
    <w:rsid w:val="005C5A2F"/>
    <w:rsid w:val="005C6083"/>
    <w:rsid w:val="005C67F3"/>
    <w:rsid w:val="005C6AD2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30"/>
    <w:rsid w:val="005E5D71"/>
    <w:rsid w:val="005E661E"/>
    <w:rsid w:val="005E67E4"/>
    <w:rsid w:val="005E77D4"/>
    <w:rsid w:val="005E7D53"/>
    <w:rsid w:val="005F0700"/>
    <w:rsid w:val="005F0778"/>
    <w:rsid w:val="005F08E7"/>
    <w:rsid w:val="005F0CA6"/>
    <w:rsid w:val="005F144A"/>
    <w:rsid w:val="005F168B"/>
    <w:rsid w:val="005F21FA"/>
    <w:rsid w:val="005F286C"/>
    <w:rsid w:val="005F2CAE"/>
    <w:rsid w:val="005F3201"/>
    <w:rsid w:val="005F36FB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7CC"/>
    <w:rsid w:val="00605AB1"/>
    <w:rsid w:val="00605FA7"/>
    <w:rsid w:val="00606BE3"/>
    <w:rsid w:val="00606E89"/>
    <w:rsid w:val="0060709D"/>
    <w:rsid w:val="00607B47"/>
    <w:rsid w:val="006105B3"/>
    <w:rsid w:val="00610D55"/>
    <w:rsid w:val="0061165A"/>
    <w:rsid w:val="00611732"/>
    <w:rsid w:val="00611F3C"/>
    <w:rsid w:val="006128B4"/>
    <w:rsid w:val="0061438A"/>
    <w:rsid w:val="00614A4A"/>
    <w:rsid w:val="00614E37"/>
    <w:rsid w:val="00615606"/>
    <w:rsid w:val="006156E1"/>
    <w:rsid w:val="0061791F"/>
    <w:rsid w:val="00617A31"/>
    <w:rsid w:val="006202B4"/>
    <w:rsid w:val="00624B8E"/>
    <w:rsid w:val="006255FF"/>
    <w:rsid w:val="0062588E"/>
    <w:rsid w:val="00626584"/>
    <w:rsid w:val="006267D3"/>
    <w:rsid w:val="00627449"/>
    <w:rsid w:val="00630567"/>
    <w:rsid w:val="006318D8"/>
    <w:rsid w:val="00631E40"/>
    <w:rsid w:val="00633992"/>
    <w:rsid w:val="0063492E"/>
    <w:rsid w:val="0063594F"/>
    <w:rsid w:val="006362E9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503D2"/>
    <w:rsid w:val="006522BD"/>
    <w:rsid w:val="006524D9"/>
    <w:rsid w:val="0065332E"/>
    <w:rsid w:val="006539AE"/>
    <w:rsid w:val="00654936"/>
    <w:rsid w:val="006556F3"/>
    <w:rsid w:val="006566DB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AA3"/>
    <w:rsid w:val="00674097"/>
    <w:rsid w:val="006746BE"/>
    <w:rsid w:val="00675B80"/>
    <w:rsid w:val="0067680C"/>
    <w:rsid w:val="00676871"/>
    <w:rsid w:val="00680624"/>
    <w:rsid w:val="00681962"/>
    <w:rsid w:val="00681A41"/>
    <w:rsid w:val="006821C8"/>
    <w:rsid w:val="00682282"/>
    <w:rsid w:val="00682AEC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1E75"/>
    <w:rsid w:val="006A2E9B"/>
    <w:rsid w:val="006A4130"/>
    <w:rsid w:val="006A479C"/>
    <w:rsid w:val="006A4C86"/>
    <w:rsid w:val="006A5047"/>
    <w:rsid w:val="006A61DF"/>
    <w:rsid w:val="006A62A2"/>
    <w:rsid w:val="006A6678"/>
    <w:rsid w:val="006A7019"/>
    <w:rsid w:val="006A7CF7"/>
    <w:rsid w:val="006A7E5F"/>
    <w:rsid w:val="006B0DA0"/>
    <w:rsid w:val="006B0F3F"/>
    <w:rsid w:val="006B178A"/>
    <w:rsid w:val="006B1CBF"/>
    <w:rsid w:val="006B29D3"/>
    <w:rsid w:val="006B2C8B"/>
    <w:rsid w:val="006B36E6"/>
    <w:rsid w:val="006B6F7A"/>
    <w:rsid w:val="006B74AF"/>
    <w:rsid w:val="006C15D7"/>
    <w:rsid w:val="006C2A04"/>
    <w:rsid w:val="006C2D95"/>
    <w:rsid w:val="006C3CE4"/>
    <w:rsid w:val="006C5710"/>
    <w:rsid w:val="006C609A"/>
    <w:rsid w:val="006C68D3"/>
    <w:rsid w:val="006C6E8C"/>
    <w:rsid w:val="006D0E95"/>
    <w:rsid w:val="006D0EB2"/>
    <w:rsid w:val="006D135A"/>
    <w:rsid w:val="006D202C"/>
    <w:rsid w:val="006D2B61"/>
    <w:rsid w:val="006D3C7D"/>
    <w:rsid w:val="006D448C"/>
    <w:rsid w:val="006D4B83"/>
    <w:rsid w:val="006D7F1F"/>
    <w:rsid w:val="006E099F"/>
    <w:rsid w:val="006E273F"/>
    <w:rsid w:val="006E2781"/>
    <w:rsid w:val="006E2C02"/>
    <w:rsid w:val="006E3178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9B5"/>
    <w:rsid w:val="006F6B59"/>
    <w:rsid w:val="006F76BA"/>
    <w:rsid w:val="006F7DDC"/>
    <w:rsid w:val="0070055A"/>
    <w:rsid w:val="00700A3D"/>
    <w:rsid w:val="00700B13"/>
    <w:rsid w:val="00702BE1"/>
    <w:rsid w:val="00704034"/>
    <w:rsid w:val="00704894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B58"/>
    <w:rsid w:val="00714D89"/>
    <w:rsid w:val="007151C2"/>
    <w:rsid w:val="00715D12"/>
    <w:rsid w:val="00715FB7"/>
    <w:rsid w:val="007160EC"/>
    <w:rsid w:val="007176D8"/>
    <w:rsid w:val="007213C9"/>
    <w:rsid w:val="00721470"/>
    <w:rsid w:val="00721DDD"/>
    <w:rsid w:val="007223CC"/>
    <w:rsid w:val="00722994"/>
    <w:rsid w:val="007237F2"/>
    <w:rsid w:val="00723AD1"/>
    <w:rsid w:val="007252B5"/>
    <w:rsid w:val="0072563F"/>
    <w:rsid w:val="00726C4B"/>
    <w:rsid w:val="00727A0C"/>
    <w:rsid w:val="00727F67"/>
    <w:rsid w:val="00732D55"/>
    <w:rsid w:val="00732E10"/>
    <w:rsid w:val="00733C38"/>
    <w:rsid w:val="00733CCB"/>
    <w:rsid w:val="00733CEA"/>
    <w:rsid w:val="00733D4C"/>
    <w:rsid w:val="00734F40"/>
    <w:rsid w:val="00735063"/>
    <w:rsid w:val="00736490"/>
    <w:rsid w:val="007370BA"/>
    <w:rsid w:val="0073767E"/>
    <w:rsid w:val="00737793"/>
    <w:rsid w:val="007411CA"/>
    <w:rsid w:val="0074158E"/>
    <w:rsid w:val="0074219C"/>
    <w:rsid w:val="0074326D"/>
    <w:rsid w:val="007449F0"/>
    <w:rsid w:val="00744FAF"/>
    <w:rsid w:val="00746313"/>
    <w:rsid w:val="007473BD"/>
    <w:rsid w:val="007477C1"/>
    <w:rsid w:val="007502BC"/>
    <w:rsid w:val="0075097D"/>
    <w:rsid w:val="00751651"/>
    <w:rsid w:val="007516DE"/>
    <w:rsid w:val="00752D55"/>
    <w:rsid w:val="00752EAF"/>
    <w:rsid w:val="00753923"/>
    <w:rsid w:val="00753D5C"/>
    <w:rsid w:val="00754BEF"/>
    <w:rsid w:val="00757BCD"/>
    <w:rsid w:val="0076133F"/>
    <w:rsid w:val="00762143"/>
    <w:rsid w:val="0076219F"/>
    <w:rsid w:val="00762BAB"/>
    <w:rsid w:val="007640E0"/>
    <w:rsid w:val="007648E4"/>
    <w:rsid w:val="0076491A"/>
    <w:rsid w:val="007649E0"/>
    <w:rsid w:val="00764E1C"/>
    <w:rsid w:val="007650C0"/>
    <w:rsid w:val="007650FA"/>
    <w:rsid w:val="00765170"/>
    <w:rsid w:val="00765701"/>
    <w:rsid w:val="00765EEB"/>
    <w:rsid w:val="00772203"/>
    <w:rsid w:val="00773A00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5C46"/>
    <w:rsid w:val="00787B7C"/>
    <w:rsid w:val="00787C0D"/>
    <w:rsid w:val="007921BE"/>
    <w:rsid w:val="00792A6E"/>
    <w:rsid w:val="007937FB"/>
    <w:rsid w:val="007942E2"/>
    <w:rsid w:val="00795D52"/>
    <w:rsid w:val="00796FBF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05AA"/>
    <w:rsid w:val="007B1084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24"/>
    <w:rsid w:val="007D526C"/>
    <w:rsid w:val="007D5406"/>
    <w:rsid w:val="007D5A89"/>
    <w:rsid w:val="007D5FCE"/>
    <w:rsid w:val="007D63FC"/>
    <w:rsid w:val="007D6639"/>
    <w:rsid w:val="007D6922"/>
    <w:rsid w:val="007D7C59"/>
    <w:rsid w:val="007E03E5"/>
    <w:rsid w:val="007E1CED"/>
    <w:rsid w:val="007E28FC"/>
    <w:rsid w:val="007E4D91"/>
    <w:rsid w:val="007E52F1"/>
    <w:rsid w:val="007E6C41"/>
    <w:rsid w:val="007E6F1D"/>
    <w:rsid w:val="007F12E6"/>
    <w:rsid w:val="007F1977"/>
    <w:rsid w:val="007F3A18"/>
    <w:rsid w:val="007F3B14"/>
    <w:rsid w:val="007F4028"/>
    <w:rsid w:val="007F4087"/>
    <w:rsid w:val="007F4D0E"/>
    <w:rsid w:val="007F6B62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AAD"/>
    <w:rsid w:val="00815CF6"/>
    <w:rsid w:val="008160F7"/>
    <w:rsid w:val="00816BD5"/>
    <w:rsid w:val="00817041"/>
    <w:rsid w:val="00817DBB"/>
    <w:rsid w:val="00820EB2"/>
    <w:rsid w:val="00822CB4"/>
    <w:rsid w:val="00824414"/>
    <w:rsid w:val="00824E0C"/>
    <w:rsid w:val="00825224"/>
    <w:rsid w:val="00825676"/>
    <w:rsid w:val="008279CF"/>
    <w:rsid w:val="00830F90"/>
    <w:rsid w:val="00831601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2DF"/>
    <w:rsid w:val="0084354A"/>
    <w:rsid w:val="008436F0"/>
    <w:rsid w:val="008437B2"/>
    <w:rsid w:val="008450D2"/>
    <w:rsid w:val="008468AB"/>
    <w:rsid w:val="00846930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17"/>
    <w:rsid w:val="008670A8"/>
    <w:rsid w:val="00867250"/>
    <w:rsid w:val="0087022C"/>
    <w:rsid w:val="0087071C"/>
    <w:rsid w:val="00873629"/>
    <w:rsid w:val="00873C94"/>
    <w:rsid w:val="008764FD"/>
    <w:rsid w:val="00876FB0"/>
    <w:rsid w:val="0088165A"/>
    <w:rsid w:val="00881833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3A2A"/>
    <w:rsid w:val="008B40B7"/>
    <w:rsid w:val="008B579B"/>
    <w:rsid w:val="008B7591"/>
    <w:rsid w:val="008B75C2"/>
    <w:rsid w:val="008B7664"/>
    <w:rsid w:val="008B7F3A"/>
    <w:rsid w:val="008C1041"/>
    <w:rsid w:val="008C1817"/>
    <w:rsid w:val="008C1F1F"/>
    <w:rsid w:val="008C27C1"/>
    <w:rsid w:val="008C4316"/>
    <w:rsid w:val="008C50FE"/>
    <w:rsid w:val="008C5234"/>
    <w:rsid w:val="008C5472"/>
    <w:rsid w:val="008C6391"/>
    <w:rsid w:val="008C7C79"/>
    <w:rsid w:val="008D0193"/>
    <w:rsid w:val="008D1892"/>
    <w:rsid w:val="008D4187"/>
    <w:rsid w:val="008D44E0"/>
    <w:rsid w:val="008D6196"/>
    <w:rsid w:val="008D67CC"/>
    <w:rsid w:val="008E150B"/>
    <w:rsid w:val="008E17FD"/>
    <w:rsid w:val="008E1A8A"/>
    <w:rsid w:val="008E203B"/>
    <w:rsid w:val="008E442A"/>
    <w:rsid w:val="008E4CE9"/>
    <w:rsid w:val="008E4F7F"/>
    <w:rsid w:val="008E5790"/>
    <w:rsid w:val="008E580C"/>
    <w:rsid w:val="008E5BA4"/>
    <w:rsid w:val="008E5EDD"/>
    <w:rsid w:val="008E619E"/>
    <w:rsid w:val="008E652A"/>
    <w:rsid w:val="008E69AE"/>
    <w:rsid w:val="008F064C"/>
    <w:rsid w:val="008F0D5F"/>
    <w:rsid w:val="008F0E0B"/>
    <w:rsid w:val="008F3039"/>
    <w:rsid w:val="008F306D"/>
    <w:rsid w:val="008F385F"/>
    <w:rsid w:val="008F4093"/>
    <w:rsid w:val="008F437A"/>
    <w:rsid w:val="008F64BB"/>
    <w:rsid w:val="008F7717"/>
    <w:rsid w:val="0090157D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10C5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F6A"/>
    <w:rsid w:val="009170C8"/>
    <w:rsid w:val="00917D45"/>
    <w:rsid w:val="00920919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506F"/>
    <w:rsid w:val="009557D6"/>
    <w:rsid w:val="00955A63"/>
    <w:rsid w:val="00955C90"/>
    <w:rsid w:val="009560BD"/>
    <w:rsid w:val="00956545"/>
    <w:rsid w:val="00956B1C"/>
    <w:rsid w:val="00957EB4"/>
    <w:rsid w:val="00962C6E"/>
    <w:rsid w:val="00963122"/>
    <w:rsid w:val="00963837"/>
    <w:rsid w:val="00965AEB"/>
    <w:rsid w:val="00965C4B"/>
    <w:rsid w:val="009660F0"/>
    <w:rsid w:val="00966966"/>
    <w:rsid w:val="00970779"/>
    <w:rsid w:val="00970991"/>
    <w:rsid w:val="0097120D"/>
    <w:rsid w:val="009718D4"/>
    <w:rsid w:val="009724EA"/>
    <w:rsid w:val="00973336"/>
    <w:rsid w:val="009739C9"/>
    <w:rsid w:val="00973F9A"/>
    <w:rsid w:val="00974467"/>
    <w:rsid w:val="009751ED"/>
    <w:rsid w:val="009753FA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91651"/>
    <w:rsid w:val="00991DD9"/>
    <w:rsid w:val="00991F3F"/>
    <w:rsid w:val="00992269"/>
    <w:rsid w:val="00992362"/>
    <w:rsid w:val="00992771"/>
    <w:rsid w:val="009927A2"/>
    <w:rsid w:val="00992EC4"/>
    <w:rsid w:val="00993F51"/>
    <w:rsid w:val="00996353"/>
    <w:rsid w:val="009968BC"/>
    <w:rsid w:val="0099772C"/>
    <w:rsid w:val="009978F8"/>
    <w:rsid w:val="00997ADC"/>
    <w:rsid w:val="009A16F7"/>
    <w:rsid w:val="009A1FA4"/>
    <w:rsid w:val="009A215B"/>
    <w:rsid w:val="009A2658"/>
    <w:rsid w:val="009A29A6"/>
    <w:rsid w:val="009A37F8"/>
    <w:rsid w:val="009A3DE1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4683"/>
    <w:rsid w:val="009C46B2"/>
    <w:rsid w:val="009C5B1F"/>
    <w:rsid w:val="009C6572"/>
    <w:rsid w:val="009C6C9C"/>
    <w:rsid w:val="009C6DAA"/>
    <w:rsid w:val="009C792B"/>
    <w:rsid w:val="009D0DA1"/>
    <w:rsid w:val="009D2330"/>
    <w:rsid w:val="009D2E28"/>
    <w:rsid w:val="009D3449"/>
    <w:rsid w:val="009D553B"/>
    <w:rsid w:val="009D5CD4"/>
    <w:rsid w:val="009D5D6B"/>
    <w:rsid w:val="009D6041"/>
    <w:rsid w:val="009D6B31"/>
    <w:rsid w:val="009D7216"/>
    <w:rsid w:val="009D78DC"/>
    <w:rsid w:val="009D7E3B"/>
    <w:rsid w:val="009E00BE"/>
    <w:rsid w:val="009E0280"/>
    <w:rsid w:val="009E04E5"/>
    <w:rsid w:val="009E0B04"/>
    <w:rsid w:val="009E26FD"/>
    <w:rsid w:val="009E2C33"/>
    <w:rsid w:val="009E344D"/>
    <w:rsid w:val="009E3A72"/>
    <w:rsid w:val="009E3D1C"/>
    <w:rsid w:val="009E3E2C"/>
    <w:rsid w:val="009E41D6"/>
    <w:rsid w:val="009E4E3C"/>
    <w:rsid w:val="009E65F8"/>
    <w:rsid w:val="009E6E5B"/>
    <w:rsid w:val="009E7189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4BC9"/>
    <w:rsid w:val="009F57BD"/>
    <w:rsid w:val="009F5923"/>
    <w:rsid w:val="009F67AE"/>
    <w:rsid w:val="009F730F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0739C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AF0"/>
    <w:rsid w:val="00A17F8C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B82"/>
    <w:rsid w:val="00A31F8B"/>
    <w:rsid w:val="00A32527"/>
    <w:rsid w:val="00A32A50"/>
    <w:rsid w:val="00A33672"/>
    <w:rsid w:val="00A3387D"/>
    <w:rsid w:val="00A33EBC"/>
    <w:rsid w:val="00A34470"/>
    <w:rsid w:val="00A35798"/>
    <w:rsid w:val="00A366AF"/>
    <w:rsid w:val="00A36E26"/>
    <w:rsid w:val="00A37F24"/>
    <w:rsid w:val="00A401E7"/>
    <w:rsid w:val="00A40B76"/>
    <w:rsid w:val="00A4140E"/>
    <w:rsid w:val="00A418BF"/>
    <w:rsid w:val="00A42FC3"/>
    <w:rsid w:val="00A43281"/>
    <w:rsid w:val="00A440BA"/>
    <w:rsid w:val="00A4519A"/>
    <w:rsid w:val="00A456EC"/>
    <w:rsid w:val="00A4583B"/>
    <w:rsid w:val="00A45ECF"/>
    <w:rsid w:val="00A475E3"/>
    <w:rsid w:val="00A47748"/>
    <w:rsid w:val="00A50007"/>
    <w:rsid w:val="00A50351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7F8"/>
    <w:rsid w:val="00A7632D"/>
    <w:rsid w:val="00A76360"/>
    <w:rsid w:val="00A7641D"/>
    <w:rsid w:val="00A771B3"/>
    <w:rsid w:val="00A77D9A"/>
    <w:rsid w:val="00A77F75"/>
    <w:rsid w:val="00A8098B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A52"/>
    <w:rsid w:val="00A85B21"/>
    <w:rsid w:val="00A85FB1"/>
    <w:rsid w:val="00A86425"/>
    <w:rsid w:val="00A8795F"/>
    <w:rsid w:val="00A87AA3"/>
    <w:rsid w:val="00A909F1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1D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1E2"/>
    <w:rsid w:val="00AA635C"/>
    <w:rsid w:val="00AA6AC2"/>
    <w:rsid w:val="00AA7A9E"/>
    <w:rsid w:val="00AA7E2C"/>
    <w:rsid w:val="00AA7F02"/>
    <w:rsid w:val="00AB0C1C"/>
    <w:rsid w:val="00AB1B79"/>
    <w:rsid w:val="00AB1BCD"/>
    <w:rsid w:val="00AB2AB3"/>
    <w:rsid w:val="00AB2CB8"/>
    <w:rsid w:val="00AB35B3"/>
    <w:rsid w:val="00AB3A2E"/>
    <w:rsid w:val="00AB412A"/>
    <w:rsid w:val="00AB56F4"/>
    <w:rsid w:val="00AB571B"/>
    <w:rsid w:val="00AB5BF1"/>
    <w:rsid w:val="00AB5E90"/>
    <w:rsid w:val="00AB6E80"/>
    <w:rsid w:val="00AB6FCF"/>
    <w:rsid w:val="00AC05B3"/>
    <w:rsid w:val="00AC0BC7"/>
    <w:rsid w:val="00AC0C00"/>
    <w:rsid w:val="00AC20CE"/>
    <w:rsid w:val="00AC6CD2"/>
    <w:rsid w:val="00AC6E00"/>
    <w:rsid w:val="00AC72F7"/>
    <w:rsid w:val="00AC77B4"/>
    <w:rsid w:val="00AC77FB"/>
    <w:rsid w:val="00AC7D07"/>
    <w:rsid w:val="00AD0E64"/>
    <w:rsid w:val="00AD185A"/>
    <w:rsid w:val="00AD1B08"/>
    <w:rsid w:val="00AD1D97"/>
    <w:rsid w:val="00AD1F9F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2545"/>
    <w:rsid w:val="00AE3045"/>
    <w:rsid w:val="00AE36D2"/>
    <w:rsid w:val="00AE39A1"/>
    <w:rsid w:val="00AE40ED"/>
    <w:rsid w:val="00AE4822"/>
    <w:rsid w:val="00AE49EA"/>
    <w:rsid w:val="00AE69B4"/>
    <w:rsid w:val="00AE7100"/>
    <w:rsid w:val="00AE7BE5"/>
    <w:rsid w:val="00AF06CA"/>
    <w:rsid w:val="00AF0BD6"/>
    <w:rsid w:val="00AF1838"/>
    <w:rsid w:val="00AF1D65"/>
    <w:rsid w:val="00AF3BF2"/>
    <w:rsid w:val="00AF44B6"/>
    <w:rsid w:val="00AF4CAF"/>
    <w:rsid w:val="00AF566A"/>
    <w:rsid w:val="00AF5BBF"/>
    <w:rsid w:val="00AF6068"/>
    <w:rsid w:val="00AF6916"/>
    <w:rsid w:val="00B00F96"/>
    <w:rsid w:val="00B019DC"/>
    <w:rsid w:val="00B0292F"/>
    <w:rsid w:val="00B0396B"/>
    <w:rsid w:val="00B041AB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2642"/>
    <w:rsid w:val="00B233BA"/>
    <w:rsid w:val="00B23E4F"/>
    <w:rsid w:val="00B24D47"/>
    <w:rsid w:val="00B252A6"/>
    <w:rsid w:val="00B2662C"/>
    <w:rsid w:val="00B30385"/>
    <w:rsid w:val="00B30848"/>
    <w:rsid w:val="00B30B96"/>
    <w:rsid w:val="00B31EA0"/>
    <w:rsid w:val="00B33CD3"/>
    <w:rsid w:val="00B34836"/>
    <w:rsid w:val="00B3525E"/>
    <w:rsid w:val="00B35EDD"/>
    <w:rsid w:val="00B36265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7FDC"/>
    <w:rsid w:val="00B601B5"/>
    <w:rsid w:val="00B606B5"/>
    <w:rsid w:val="00B60C9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B0D"/>
    <w:rsid w:val="00B71B2F"/>
    <w:rsid w:val="00B750EE"/>
    <w:rsid w:val="00B75633"/>
    <w:rsid w:val="00B75819"/>
    <w:rsid w:val="00B7596C"/>
    <w:rsid w:val="00B76366"/>
    <w:rsid w:val="00B77996"/>
    <w:rsid w:val="00B77ED2"/>
    <w:rsid w:val="00B8000C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A63"/>
    <w:rsid w:val="00B94A57"/>
    <w:rsid w:val="00B94FF5"/>
    <w:rsid w:val="00B95425"/>
    <w:rsid w:val="00B95715"/>
    <w:rsid w:val="00B957EA"/>
    <w:rsid w:val="00B9730F"/>
    <w:rsid w:val="00B97A04"/>
    <w:rsid w:val="00BA1BB5"/>
    <w:rsid w:val="00BA2374"/>
    <w:rsid w:val="00BA2985"/>
    <w:rsid w:val="00BA42DD"/>
    <w:rsid w:val="00BA4338"/>
    <w:rsid w:val="00BA4C05"/>
    <w:rsid w:val="00BA5F0F"/>
    <w:rsid w:val="00BA625C"/>
    <w:rsid w:val="00BA71F9"/>
    <w:rsid w:val="00BA7514"/>
    <w:rsid w:val="00BA7579"/>
    <w:rsid w:val="00BA7B58"/>
    <w:rsid w:val="00BB0345"/>
    <w:rsid w:val="00BB0EB3"/>
    <w:rsid w:val="00BB2D1B"/>
    <w:rsid w:val="00BB2FEE"/>
    <w:rsid w:val="00BB3478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25EA"/>
    <w:rsid w:val="00BC359F"/>
    <w:rsid w:val="00BC545B"/>
    <w:rsid w:val="00BC5A28"/>
    <w:rsid w:val="00BC5F3E"/>
    <w:rsid w:val="00BC7356"/>
    <w:rsid w:val="00BD066B"/>
    <w:rsid w:val="00BD1B95"/>
    <w:rsid w:val="00BD3906"/>
    <w:rsid w:val="00BD460D"/>
    <w:rsid w:val="00BD4C31"/>
    <w:rsid w:val="00BD6530"/>
    <w:rsid w:val="00BE1703"/>
    <w:rsid w:val="00BE1BBB"/>
    <w:rsid w:val="00BE2D07"/>
    <w:rsid w:val="00BE2D7D"/>
    <w:rsid w:val="00BE3227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819"/>
    <w:rsid w:val="00C05D6E"/>
    <w:rsid w:val="00C060AC"/>
    <w:rsid w:val="00C06710"/>
    <w:rsid w:val="00C10424"/>
    <w:rsid w:val="00C10A61"/>
    <w:rsid w:val="00C10B86"/>
    <w:rsid w:val="00C10E1C"/>
    <w:rsid w:val="00C123C5"/>
    <w:rsid w:val="00C125E0"/>
    <w:rsid w:val="00C12F39"/>
    <w:rsid w:val="00C140FF"/>
    <w:rsid w:val="00C159CD"/>
    <w:rsid w:val="00C1686B"/>
    <w:rsid w:val="00C16D9B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C5"/>
    <w:rsid w:val="00C33BEE"/>
    <w:rsid w:val="00C34753"/>
    <w:rsid w:val="00C3489B"/>
    <w:rsid w:val="00C34A94"/>
    <w:rsid w:val="00C359E8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45B"/>
    <w:rsid w:val="00C539F7"/>
    <w:rsid w:val="00C53D12"/>
    <w:rsid w:val="00C549A0"/>
    <w:rsid w:val="00C54B09"/>
    <w:rsid w:val="00C54BC5"/>
    <w:rsid w:val="00C5567A"/>
    <w:rsid w:val="00C560E3"/>
    <w:rsid w:val="00C6073F"/>
    <w:rsid w:val="00C6221A"/>
    <w:rsid w:val="00C62892"/>
    <w:rsid w:val="00C62B57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014"/>
    <w:rsid w:val="00C731D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0C6"/>
    <w:rsid w:val="00C93E36"/>
    <w:rsid w:val="00C949F9"/>
    <w:rsid w:val="00C94B48"/>
    <w:rsid w:val="00C94DC4"/>
    <w:rsid w:val="00C96800"/>
    <w:rsid w:val="00C970B0"/>
    <w:rsid w:val="00CA1406"/>
    <w:rsid w:val="00CA1888"/>
    <w:rsid w:val="00CA1DC2"/>
    <w:rsid w:val="00CA21DD"/>
    <w:rsid w:val="00CA2407"/>
    <w:rsid w:val="00CA2E0B"/>
    <w:rsid w:val="00CA391C"/>
    <w:rsid w:val="00CA3E70"/>
    <w:rsid w:val="00CA45A6"/>
    <w:rsid w:val="00CA6E3B"/>
    <w:rsid w:val="00CA71B1"/>
    <w:rsid w:val="00CB0122"/>
    <w:rsid w:val="00CB0834"/>
    <w:rsid w:val="00CB18FD"/>
    <w:rsid w:val="00CB205F"/>
    <w:rsid w:val="00CB2785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74"/>
    <w:rsid w:val="00CD1FBA"/>
    <w:rsid w:val="00CD20D6"/>
    <w:rsid w:val="00CD21F9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7C4"/>
    <w:rsid w:val="00CE2BB0"/>
    <w:rsid w:val="00CE352F"/>
    <w:rsid w:val="00CE4120"/>
    <w:rsid w:val="00CE4411"/>
    <w:rsid w:val="00CE51C4"/>
    <w:rsid w:val="00CE525D"/>
    <w:rsid w:val="00CE6595"/>
    <w:rsid w:val="00CE68CD"/>
    <w:rsid w:val="00CE6981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152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596"/>
    <w:rsid w:val="00D2408D"/>
    <w:rsid w:val="00D24B5D"/>
    <w:rsid w:val="00D24C00"/>
    <w:rsid w:val="00D25E17"/>
    <w:rsid w:val="00D25F06"/>
    <w:rsid w:val="00D302F3"/>
    <w:rsid w:val="00D305DB"/>
    <w:rsid w:val="00D30C39"/>
    <w:rsid w:val="00D31F2B"/>
    <w:rsid w:val="00D320B1"/>
    <w:rsid w:val="00D322BB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B1E"/>
    <w:rsid w:val="00D51609"/>
    <w:rsid w:val="00D52147"/>
    <w:rsid w:val="00D53171"/>
    <w:rsid w:val="00D540A4"/>
    <w:rsid w:val="00D55BED"/>
    <w:rsid w:val="00D55DA2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851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00"/>
    <w:rsid w:val="00D74DE2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867B4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14E"/>
    <w:rsid w:val="00DA67D3"/>
    <w:rsid w:val="00DA6FF9"/>
    <w:rsid w:val="00DA72AD"/>
    <w:rsid w:val="00DA74CC"/>
    <w:rsid w:val="00DB058B"/>
    <w:rsid w:val="00DB08C6"/>
    <w:rsid w:val="00DB18A3"/>
    <w:rsid w:val="00DB1E30"/>
    <w:rsid w:val="00DB2433"/>
    <w:rsid w:val="00DB302B"/>
    <w:rsid w:val="00DB343D"/>
    <w:rsid w:val="00DB3A0D"/>
    <w:rsid w:val="00DB5BE8"/>
    <w:rsid w:val="00DB628A"/>
    <w:rsid w:val="00DB636C"/>
    <w:rsid w:val="00DB637A"/>
    <w:rsid w:val="00DB6A90"/>
    <w:rsid w:val="00DB6E3B"/>
    <w:rsid w:val="00DC1986"/>
    <w:rsid w:val="00DC433B"/>
    <w:rsid w:val="00DC4719"/>
    <w:rsid w:val="00DC4843"/>
    <w:rsid w:val="00DC6035"/>
    <w:rsid w:val="00DC63EF"/>
    <w:rsid w:val="00DC6D41"/>
    <w:rsid w:val="00DC79F6"/>
    <w:rsid w:val="00DC7A99"/>
    <w:rsid w:val="00DC7D74"/>
    <w:rsid w:val="00DC7DED"/>
    <w:rsid w:val="00DD0197"/>
    <w:rsid w:val="00DD06F1"/>
    <w:rsid w:val="00DD2141"/>
    <w:rsid w:val="00DD286C"/>
    <w:rsid w:val="00DD3641"/>
    <w:rsid w:val="00DD4197"/>
    <w:rsid w:val="00DD4766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4587"/>
    <w:rsid w:val="00DE52B9"/>
    <w:rsid w:val="00DE70A8"/>
    <w:rsid w:val="00DE765A"/>
    <w:rsid w:val="00DF0FA3"/>
    <w:rsid w:val="00DF132A"/>
    <w:rsid w:val="00DF16BE"/>
    <w:rsid w:val="00DF174F"/>
    <w:rsid w:val="00DF1FA6"/>
    <w:rsid w:val="00DF3215"/>
    <w:rsid w:val="00DF395D"/>
    <w:rsid w:val="00DF4290"/>
    <w:rsid w:val="00DF43CD"/>
    <w:rsid w:val="00DF481D"/>
    <w:rsid w:val="00DF4BF3"/>
    <w:rsid w:val="00DF5299"/>
    <w:rsid w:val="00DF7238"/>
    <w:rsid w:val="00DF759F"/>
    <w:rsid w:val="00E018F3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4017"/>
    <w:rsid w:val="00E14CBD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310F5"/>
    <w:rsid w:val="00E31B6A"/>
    <w:rsid w:val="00E31D16"/>
    <w:rsid w:val="00E31EAD"/>
    <w:rsid w:val="00E32781"/>
    <w:rsid w:val="00E32D4A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7015"/>
    <w:rsid w:val="00E501CA"/>
    <w:rsid w:val="00E50A29"/>
    <w:rsid w:val="00E52555"/>
    <w:rsid w:val="00E52E87"/>
    <w:rsid w:val="00E52EB5"/>
    <w:rsid w:val="00E53671"/>
    <w:rsid w:val="00E53B67"/>
    <w:rsid w:val="00E53D36"/>
    <w:rsid w:val="00E548C5"/>
    <w:rsid w:val="00E557F0"/>
    <w:rsid w:val="00E56053"/>
    <w:rsid w:val="00E56260"/>
    <w:rsid w:val="00E56B2C"/>
    <w:rsid w:val="00E603F7"/>
    <w:rsid w:val="00E607C1"/>
    <w:rsid w:val="00E60B7A"/>
    <w:rsid w:val="00E63806"/>
    <w:rsid w:val="00E6434A"/>
    <w:rsid w:val="00E65283"/>
    <w:rsid w:val="00E66568"/>
    <w:rsid w:val="00E667BB"/>
    <w:rsid w:val="00E66937"/>
    <w:rsid w:val="00E66C3A"/>
    <w:rsid w:val="00E67257"/>
    <w:rsid w:val="00E709CD"/>
    <w:rsid w:val="00E70E20"/>
    <w:rsid w:val="00E715FB"/>
    <w:rsid w:val="00E722AB"/>
    <w:rsid w:val="00E72E50"/>
    <w:rsid w:val="00E743C7"/>
    <w:rsid w:val="00E75752"/>
    <w:rsid w:val="00E75F33"/>
    <w:rsid w:val="00E760CF"/>
    <w:rsid w:val="00E76AD2"/>
    <w:rsid w:val="00E80412"/>
    <w:rsid w:val="00E80909"/>
    <w:rsid w:val="00E812D1"/>
    <w:rsid w:val="00E835CB"/>
    <w:rsid w:val="00E846DC"/>
    <w:rsid w:val="00E84C3A"/>
    <w:rsid w:val="00E85015"/>
    <w:rsid w:val="00E85DC1"/>
    <w:rsid w:val="00E86202"/>
    <w:rsid w:val="00E864EE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59E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C0738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97"/>
    <w:rsid w:val="00ED4AC8"/>
    <w:rsid w:val="00ED779D"/>
    <w:rsid w:val="00EE0DB6"/>
    <w:rsid w:val="00EE2180"/>
    <w:rsid w:val="00EE2E60"/>
    <w:rsid w:val="00EE2F98"/>
    <w:rsid w:val="00EE2FDD"/>
    <w:rsid w:val="00EE42A1"/>
    <w:rsid w:val="00EE46A8"/>
    <w:rsid w:val="00EE5F00"/>
    <w:rsid w:val="00EE6033"/>
    <w:rsid w:val="00EE6DEE"/>
    <w:rsid w:val="00EE7633"/>
    <w:rsid w:val="00EF06DF"/>
    <w:rsid w:val="00EF06E7"/>
    <w:rsid w:val="00EF09E1"/>
    <w:rsid w:val="00EF1C02"/>
    <w:rsid w:val="00EF24C3"/>
    <w:rsid w:val="00EF26EC"/>
    <w:rsid w:val="00EF3BF3"/>
    <w:rsid w:val="00EF4C3A"/>
    <w:rsid w:val="00EF4FB5"/>
    <w:rsid w:val="00EF56E3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6266"/>
    <w:rsid w:val="00F064B6"/>
    <w:rsid w:val="00F068BD"/>
    <w:rsid w:val="00F105DA"/>
    <w:rsid w:val="00F12E84"/>
    <w:rsid w:val="00F14CCE"/>
    <w:rsid w:val="00F161DB"/>
    <w:rsid w:val="00F16A3F"/>
    <w:rsid w:val="00F17C7C"/>
    <w:rsid w:val="00F217EE"/>
    <w:rsid w:val="00F21D9C"/>
    <w:rsid w:val="00F21ECC"/>
    <w:rsid w:val="00F24694"/>
    <w:rsid w:val="00F27029"/>
    <w:rsid w:val="00F276CF"/>
    <w:rsid w:val="00F27827"/>
    <w:rsid w:val="00F304DC"/>
    <w:rsid w:val="00F30691"/>
    <w:rsid w:val="00F30D36"/>
    <w:rsid w:val="00F30F3E"/>
    <w:rsid w:val="00F31456"/>
    <w:rsid w:val="00F324EE"/>
    <w:rsid w:val="00F345D6"/>
    <w:rsid w:val="00F346DE"/>
    <w:rsid w:val="00F34F41"/>
    <w:rsid w:val="00F34FE9"/>
    <w:rsid w:val="00F352BB"/>
    <w:rsid w:val="00F3571D"/>
    <w:rsid w:val="00F358CD"/>
    <w:rsid w:val="00F363DF"/>
    <w:rsid w:val="00F366CB"/>
    <w:rsid w:val="00F36EC3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70334"/>
    <w:rsid w:val="00F70C2B"/>
    <w:rsid w:val="00F71B71"/>
    <w:rsid w:val="00F71F4E"/>
    <w:rsid w:val="00F72378"/>
    <w:rsid w:val="00F734CD"/>
    <w:rsid w:val="00F735F1"/>
    <w:rsid w:val="00F74EE9"/>
    <w:rsid w:val="00F76C0C"/>
    <w:rsid w:val="00F77385"/>
    <w:rsid w:val="00F77AD4"/>
    <w:rsid w:val="00F77AFD"/>
    <w:rsid w:val="00F81E82"/>
    <w:rsid w:val="00F82DD7"/>
    <w:rsid w:val="00F84490"/>
    <w:rsid w:val="00F84E9F"/>
    <w:rsid w:val="00F84F28"/>
    <w:rsid w:val="00F85FA3"/>
    <w:rsid w:val="00F8661C"/>
    <w:rsid w:val="00F86D2F"/>
    <w:rsid w:val="00F87AF3"/>
    <w:rsid w:val="00F91445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3B"/>
    <w:rsid w:val="00FA40EA"/>
    <w:rsid w:val="00FA47C0"/>
    <w:rsid w:val="00FA58AA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DBA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5878"/>
    <w:rsid w:val="00FE5C5B"/>
    <w:rsid w:val="00FE6902"/>
    <w:rsid w:val="00FE7550"/>
    <w:rsid w:val="00FE7B5F"/>
    <w:rsid w:val="00FF0C5A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en-US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en-US" w:eastAsia="en-US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en-US" w:eastAsia="en-US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en-US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en-US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en-US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en-US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en-US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en-US" w:eastAsia="en-US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en-US" w:eastAsia="en-US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en-US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en-US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en-US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en-US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etra.wolf@andrit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ma194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B81F1-2F70-4B81-AEC5-B59DE0D6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3</Pages>
  <Words>902</Words>
  <Characters>5688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Wolf Petra</cp:lastModifiedBy>
  <cp:revision>23</cp:revision>
  <cp:lastPrinted>2014-08-04T14:53:00Z</cp:lastPrinted>
  <dcterms:created xsi:type="dcterms:W3CDTF">2014-10-30T14:02:00Z</dcterms:created>
  <dcterms:modified xsi:type="dcterms:W3CDTF">2015-11-05T13:27:00Z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18305</vt:lpwstr>
  </property>
  <property fmtid="{D5CDD505-2E9C-101B-9397-08002B2CF9AE}" pid="9" name="FIRE.name">
    <vt:lpwstr>FIRE.sys 2012</vt:lpwstr>
  </property>
</Properties>
</file>